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C991" w14:textId="57124D40" w:rsidR="00A951B2" w:rsidRPr="00764B3A" w:rsidRDefault="00A951B2" w:rsidP="00784A13">
      <w:pPr>
        <w:spacing w:after="0"/>
        <w:rPr>
          <w:rFonts w:ascii="Calibri" w:hAnsi="Calibri" w:cs="Calibri"/>
          <w:b/>
          <w:caps/>
          <w:sz w:val="28"/>
          <w:szCs w:val="28"/>
        </w:rPr>
      </w:pPr>
      <w:r w:rsidRPr="00764B3A">
        <w:rPr>
          <w:rFonts w:ascii="Calibri" w:hAnsi="Calibri" w:cs="Calibri"/>
          <w:b/>
          <w:caps/>
          <w:sz w:val="28"/>
          <w:szCs w:val="28"/>
        </w:rPr>
        <w:t>Techninė specifikacija</w:t>
      </w:r>
      <w:r w:rsidR="00341A1C">
        <w:rPr>
          <w:rFonts w:ascii="Calibri" w:hAnsi="Calibri" w:cs="Calibri"/>
          <w:b/>
          <w:caps/>
          <w:sz w:val="28"/>
          <w:szCs w:val="28"/>
        </w:rPr>
        <w:t xml:space="preserve"> </w:t>
      </w:r>
      <w:r w:rsidR="00341A1C">
        <w:rPr>
          <w:rFonts w:ascii="Calibri" w:hAnsi="Calibri" w:cs="Calibri"/>
          <w:caps/>
          <w:sz w:val="24"/>
          <w:szCs w:val="24"/>
        </w:rPr>
        <w:t>(</w:t>
      </w:r>
      <w:r w:rsidR="00A0206B" w:rsidRPr="00A0206B">
        <w:rPr>
          <w:rFonts w:ascii="Calibri" w:hAnsi="Calibri" w:cs="Calibri"/>
          <w:sz w:val="24"/>
          <w:szCs w:val="24"/>
        </w:rPr>
        <w:t>v.</w:t>
      </w:r>
      <w:r w:rsidR="007C2363">
        <w:rPr>
          <w:rFonts w:ascii="Calibri" w:hAnsi="Calibri" w:cs="Calibri"/>
          <w:sz w:val="24"/>
          <w:szCs w:val="24"/>
        </w:rPr>
        <w:t>3</w:t>
      </w:r>
      <w:r w:rsidR="00A0206B" w:rsidRPr="00A0206B">
        <w:rPr>
          <w:rFonts w:ascii="Calibri" w:hAnsi="Calibri" w:cs="Calibri"/>
          <w:sz w:val="24"/>
          <w:szCs w:val="24"/>
        </w:rPr>
        <w:t>,</w:t>
      </w:r>
      <w:r w:rsidR="00A0206B">
        <w:rPr>
          <w:rFonts w:ascii="Calibri" w:hAnsi="Calibri" w:cs="Calibri"/>
          <w:caps/>
          <w:sz w:val="24"/>
          <w:szCs w:val="24"/>
        </w:rPr>
        <w:t xml:space="preserve"> </w:t>
      </w:r>
      <w:r w:rsidR="00341A1C">
        <w:rPr>
          <w:rFonts w:ascii="Calibri" w:hAnsi="Calibri" w:cs="Calibri"/>
          <w:caps/>
          <w:sz w:val="24"/>
          <w:szCs w:val="24"/>
        </w:rPr>
        <w:t>202</w:t>
      </w:r>
      <w:r w:rsidR="007C2363">
        <w:rPr>
          <w:rFonts w:ascii="Calibri" w:hAnsi="Calibri" w:cs="Calibri"/>
          <w:caps/>
          <w:sz w:val="24"/>
          <w:szCs w:val="24"/>
        </w:rPr>
        <w:t>4</w:t>
      </w:r>
      <w:r w:rsidR="00341A1C">
        <w:rPr>
          <w:rFonts w:ascii="Calibri" w:hAnsi="Calibri" w:cs="Calibri"/>
          <w:caps/>
          <w:sz w:val="24"/>
          <w:szCs w:val="24"/>
        </w:rPr>
        <w:t xml:space="preserve"> </w:t>
      </w:r>
      <w:r w:rsidR="00341A1C" w:rsidRPr="00341A1C">
        <w:rPr>
          <w:rFonts w:ascii="Calibri" w:hAnsi="Calibri" w:cs="Calibri"/>
          <w:sz w:val="24"/>
          <w:szCs w:val="24"/>
        </w:rPr>
        <w:t>m.</w:t>
      </w:r>
      <w:r w:rsidR="00341A1C">
        <w:rPr>
          <w:rFonts w:ascii="Calibri" w:hAnsi="Calibri" w:cs="Calibri"/>
          <w:caps/>
          <w:sz w:val="24"/>
          <w:szCs w:val="24"/>
        </w:rPr>
        <w:t>)</w:t>
      </w:r>
    </w:p>
    <w:p w14:paraId="712B741F" w14:textId="492DC77D" w:rsidR="00A951B2" w:rsidRPr="00784A13" w:rsidRDefault="00A951B2" w:rsidP="00DD1DCD">
      <w:pPr>
        <w:spacing w:after="0"/>
        <w:rPr>
          <w:rFonts w:ascii="Calibri" w:hAnsi="Calibri" w:cs="Calibri"/>
          <w:caps/>
          <w:sz w:val="24"/>
          <w:szCs w:val="24"/>
        </w:rPr>
      </w:pPr>
      <w:r w:rsidRPr="00784A13">
        <w:rPr>
          <w:rFonts w:ascii="Calibri" w:hAnsi="Calibri" w:cs="Calibri"/>
          <w:caps/>
          <w:sz w:val="24"/>
          <w:szCs w:val="24"/>
        </w:rPr>
        <w:t>GYVENAMOJO NAMO GARSĄ IZOLIUOJANTI GELŽBETONInė PERDANGA SU JUDRIŲJŲ GRINDŲ KONSTRUKCIJA</w:t>
      </w:r>
      <w:r w:rsidR="000C7C69">
        <w:rPr>
          <w:rFonts w:ascii="Calibri" w:hAnsi="Calibri" w:cs="Calibri"/>
          <w:caps/>
          <w:sz w:val="24"/>
          <w:szCs w:val="24"/>
        </w:rPr>
        <w:t xml:space="preserve"> </w:t>
      </w:r>
    </w:p>
    <w:p w14:paraId="2B12CF29" w14:textId="77777777" w:rsidR="00A951B2" w:rsidRPr="00764B3A" w:rsidRDefault="00A951B2" w:rsidP="00BC5F19">
      <w:pPr>
        <w:pStyle w:val="1STNormal"/>
        <w:numPr>
          <w:ilvl w:val="0"/>
          <w:numId w:val="10"/>
        </w:numPr>
        <w:pBdr>
          <w:top w:val="none" w:sz="0" w:space="0" w:color="auto"/>
          <w:left w:val="none" w:sz="0" w:space="0" w:color="auto"/>
          <w:bottom w:val="none" w:sz="0" w:space="0" w:color="auto"/>
          <w:right w:val="none" w:sz="0" w:space="0" w:color="auto"/>
        </w:pBdr>
        <w:spacing w:after="0"/>
        <w:jc w:val="both"/>
        <w:rPr>
          <w:rFonts w:ascii="Calibri" w:hAnsi="Calibri" w:cs="Calibri"/>
          <w:b/>
        </w:rPr>
      </w:pPr>
      <w:r w:rsidRPr="00764B3A">
        <w:rPr>
          <w:rFonts w:ascii="Calibri" w:hAnsi="Calibri" w:cs="Calibri"/>
          <w:b/>
        </w:rPr>
        <w:t>DARBŲ APIBRĖŽIMAS</w:t>
      </w:r>
    </w:p>
    <w:p w14:paraId="0BA22227" w14:textId="22B81557" w:rsidR="00A951B2" w:rsidRPr="00C6603C" w:rsidRDefault="00A951B2" w:rsidP="00C6603C">
      <w:pPr>
        <w:numPr>
          <w:ilvl w:val="1"/>
          <w:numId w:val="10"/>
        </w:numPr>
        <w:spacing w:after="0" w:line="240" w:lineRule="auto"/>
        <w:jc w:val="both"/>
        <w:rPr>
          <w:rFonts w:ascii="Calibri" w:hAnsi="Calibri" w:cs="Calibri"/>
        </w:rPr>
      </w:pPr>
      <w:r w:rsidRPr="00764B3A">
        <w:rPr>
          <w:rFonts w:ascii="Calibri" w:hAnsi="Calibri" w:cs="Calibri"/>
        </w:rPr>
        <w:t>Garsą izoliuojanti konstrukcija – perdanga su judriųjų grindų konstrukcija, įrengta ant</w:t>
      </w:r>
      <w:r w:rsidR="006B111B">
        <w:rPr>
          <w:rFonts w:ascii="Calibri" w:hAnsi="Calibri" w:cs="Calibri"/>
        </w:rPr>
        <w:t xml:space="preserve"> </w:t>
      </w:r>
      <w:r w:rsidRPr="00764B3A">
        <w:rPr>
          <w:rFonts w:ascii="Calibri" w:hAnsi="Calibri" w:cs="Calibri"/>
        </w:rPr>
        <w:t>monolitinių gelžbetoninių plokščių</w:t>
      </w:r>
      <w:r w:rsidR="00C6603C">
        <w:rPr>
          <w:rFonts w:ascii="Calibri" w:hAnsi="Calibri" w:cs="Calibri"/>
        </w:rPr>
        <w:t>,</w:t>
      </w:r>
      <w:r w:rsidRPr="00764B3A">
        <w:rPr>
          <w:rFonts w:ascii="Calibri" w:hAnsi="Calibri" w:cs="Calibri"/>
        </w:rPr>
        <w:t xml:space="preserve"> surenkamų kiaurymėtų gelžbetoninių plokščių</w:t>
      </w:r>
      <w:r w:rsidR="00C6603C">
        <w:rPr>
          <w:rFonts w:ascii="Calibri" w:hAnsi="Calibri" w:cs="Calibri"/>
        </w:rPr>
        <w:t xml:space="preserve"> </w:t>
      </w:r>
      <w:r w:rsidR="00C6603C" w:rsidRPr="00C6603C">
        <w:rPr>
          <w:rFonts w:ascii="Calibri" w:hAnsi="Calibri" w:cs="Calibri"/>
        </w:rPr>
        <w:t>arba ant</w:t>
      </w:r>
      <w:r w:rsidR="00C6603C">
        <w:rPr>
          <w:rFonts w:ascii="Calibri" w:hAnsi="Calibri" w:cs="Calibri"/>
        </w:rPr>
        <w:t xml:space="preserve"> </w:t>
      </w:r>
      <w:r w:rsidR="00C6603C" w:rsidRPr="00C6603C">
        <w:rPr>
          <w:rFonts w:ascii="Calibri" w:hAnsi="Calibri" w:cs="Calibri"/>
        </w:rPr>
        <w:t>plokščių surinktų iš gelžbetoninių sijų ir betoninių blokų perdangų sistemos elementų</w:t>
      </w:r>
      <w:r w:rsidRPr="00C6603C">
        <w:rPr>
          <w:rFonts w:ascii="Calibri" w:hAnsi="Calibri" w:cs="Calibri"/>
        </w:rPr>
        <w:t>. Naudojama gyvenamosios paskirties pastatuose, kuriems pagal STR 2.01.07:2003 keliami apibrėžti oro ir smūgio garso izoliacijos reikalavimai: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2197"/>
        <w:gridCol w:w="2197"/>
      </w:tblGrid>
      <w:tr w:rsidR="008E7711" w:rsidRPr="00751B31" w14:paraId="6725EA18" w14:textId="77777777" w:rsidTr="00456991">
        <w:tc>
          <w:tcPr>
            <w:tcW w:w="4520" w:type="dxa"/>
            <w:vMerge w:val="restart"/>
            <w:shd w:val="clear" w:color="auto" w:fill="auto"/>
          </w:tcPr>
          <w:p w14:paraId="6604E5DE" w14:textId="77777777" w:rsidR="008E7711" w:rsidRPr="00751B31" w:rsidRDefault="008E7711" w:rsidP="00BC5F19">
            <w:pPr>
              <w:spacing w:after="0"/>
              <w:jc w:val="both"/>
              <w:rPr>
                <w:rFonts w:ascii="Calibri" w:hAnsi="Calibri" w:cs="Calibri"/>
              </w:rPr>
            </w:pPr>
          </w:p>
        </w:tc>
        <w:tc>
          <w:tcPr>
            <w:tcW w:w="4394" w:type="dxa"/>
            <w:gridSpan w:val="2"/>
            <w:shd w:val="clear" w:color="auto" w:fill="auto"/>
          </w:tcPr>
          <w:p w14:paraId="64F35C39" w14:textId="77777777" w:rsidR="008E7711" w:rsidRPr="00751B31" w:rsidRDefault="008E7711" w:rsidP="00BC5F19">
            <w:pPr>
              <w:spacing w:after="0"/>
              <w:jc w:val="both"/>
              <w:rPr>
                <w:rFonts w:ascii="Calibri" w:hAnsi="Calibri" w:cs="Calibri"/>
              </w:rPr>
            </w:pPr>
            <w:r w:rsidRPr="00751B31">
              <w:rPr>
                <w:rFonts w:ascii="Calibri" w:hAnsi="Calibri" w:cs="Calibri"/>
              </w:rPr>
              <w:t xml:space="preserve">Vidinių atitvarų </w:t>
            </w:r>
            <w:r>
              <w:rPr>
                <w:rFonts w:ascii="Calibri" w:hAnsi="Calibri" w:cs="Calibri"/>
              </w:rPr>
              <w:t xml:space="preserve">ir perdangų </w:t>
            </w:r>
            <w:r w:rsidRPr="00751B31">
              <w:rPr>
                <w:rFonts w:ascii="Calibri" w:hAnsi="Calibri" w:cs="Calibri"/>
              </w:rPr>
              <w:t xml:space="preserve">garso klasė </w:t>
            </w:r>
          </w:p>
        </w:tc>
      </w:tr>
      <w:tr w:rsidR="008E7711" w:rsidRPr="00751B31" w14:paraId="58DAC5E5" w14:textId="77777777" w:rsidTr="00456991">
        <w:tc>
          <w:tcPr>
            <w:tcW w:w="4520" w:type="dxa"/>
            <w:vMerge/>
            <w:shd w:val="clear" w:color="auto" w:fill="auto"/>
          </w:tcPr>
          <w:p w14:paraId="3492906F" w14:textId="77777777" w:rsidR="008E7711" w:rsidRPr="00B86B62" w:rsidRDefault="008E7711" w:rsidP="00BC5F19">
            <w:pPr>
              <w:spacing w:after="0"/>
              <w:jc w:val="both"/>
              <w:rPr>
                <w:rFonts w:ascii="Calibri" w:hAnsi="Calibri" w:cs="Calibri"/>
                <w:b/>
              </w:rPr>
            </w:pPr>
          </w:p>
        </w:tc>
        <w:tc>
          <w:tcPr>
            <w:tcW w:w="2197" w:type="dxa"/>
            <w:shd w:val="clear" w:color="auto" w:fill="auto"/>
          </w:tcPr>
          <w:p w14:paraId="75BBB382" w14:textId="77777777" w:rsidR="008E7711" w:rsidRPr="00B86B62" w:rsidRDefault="008E7711" w:rsidP="00BC5F19">
            <w:pPr>
              <w:spacing w:after="0"/>
              <w:jc w:val="center"/>
              <w:rPr>
                <w:rFonts w:ascii="Calibri" w:hAnsi="Calibri" w:cs="Arial"/>
                <w:b/>
              </w:rPr>
            </w:pPr>
            <w:r>
              <w:rPr>
                <w:rFonts w:ascii="Calibri" w:hAnsi="Calibri" w:cs="Arial"/>
                <w:b/>
              </w:rPr>
              <w:t>B</w:t>
            </w:r>
          </w:p>
        </w:tc>
        <w:tc>
          <w:tcPr>
            <w:tcW w:w="2197" w:type="dxa"/>
          </w:tcPr>
          <w:p w14:paraId="3CE2837A" w14:textId="77777777" w:rsidR="008E7711" w:rsidRPr="00B86B62" w:rsidRDefault="008E7711" w:rsidP="00BC5F19">
            <w:pPr>
              <w:spacing w:after="0"/>
              <w:jc w:val="center"/>
              <w:rPr>
                <w:rFonts w:ascii="Calibri" w:hAnsi="Calibri" w:cs="Arial"/>
                <w:b/>
              </w:rPr>
            </w:pPr>
            <w:r w:rsidRPr="00751B31">
              <w:rPr>
                <w:rFonts w:ascii="Calibri" w:hAnsi="Calibri" w:cs="Calibri"/>
                <w:b/>
              </w:rPr>
              <w:t>C</w:t>
            </w:r>
          </w:p>
        </w:tc>
      </w:tr>
      <w:tr w:rsidR="008E7711" w:rsidRPr="00751B31" w14:paraId="2C9323DF" w14:textId="77777777" w:rsidTr="00456991">
        <w:trPr>
          <w:trHeight w:val="388"/>
        </w:trPr>
        <w:tc>
          <w:tcPr>
            <w:tcW w:w="4520" w:type="dxa"/>
            <w:vMerge w:val="restart"/>
            <w:shd w:val="clear" w:color="auto" w:fill="auto"/>
            <w:vAlign w:val="center"/>
          </w:tcPr>
          <w:p w14:paraId="5BE6D594" w14:textId="77777777" w:rsidR="008E7711" w:rsidRPr="00B86B62" w:rsidRDefault="008E7711" w:rsidP="00BC5F19">
            <w:pPr>
              <w:spacing w:after="0"/>
              <w:jc w:val="both"/>
              <w:rPr>
                <w:rFonts w:ascii="Calibri" w:hAnsi="Calibri" w:cs="Calibri"/>
                <w:b/>
              </w:rPr>
            </w:pPr>
            <w:r w:rsidRPr="00B86B62">
              <w:rPr>
                <w:rFonts w:ascii="Calibri" w:hAnsi="Calibri" w:cs="Calibri"/>
                <w:b/>
              </w:rPr>
              <w:t>Gyvenamųjų pastatų vidinės atitvaros</w:t>
            </w:r>
          </w:p>
        </w:tc>
        <w:tc>
          <w:tcPr>
            <w:tcW w:w="4394" w:type="dxa"/>
            <w:gridSpan w:val="2"/>
            <w:shd w:val="clear" w:color="auto" w:fill="auto"/>
          </w:tcPr>
          <w:p w14:paraId="419C847A" w14:textId="77777777" w:rsidR="008E7711" w:rsidRPr="008E7711" w:rsidRDefault="008E7711" w:rsidP="00BC5F19">
            <w:pPr>
              <w:spacing w:after="0"/>
              <w:jc w:val="center"/>
              <w:rPr>
                <w:rFonts w:ascii="Calibri" w:hAnsi="Calibri" w:cs="Arial"/>
                <w:b/>
              </w:rPr>
            </w:pPr>
            <w:r w:rsidRPr="00B86B62">
              <w:rPr>
                <w:rFonts w:ascii="Calibri" w:hAnsi="Calibri" w:cs="Arial"/>
                <w:b/>
              </w:rPr>
              <w:t>Oro garso izoliavimo rodiklis</w:t>
            </w:r>
          </w:p>
        </w:tc>
      </w:tr>
      <w:tr w:rsidR="008E7711" w:rsidRPr="00751B31" w14:paraId="20EDD9B3" w14:textId="77777777" w:rsidTr="00456991">
        <w:trPr>
          <w:trHeight w:val="388"/>
        </w:trPr>
        <w:tc>
          <w:tcPr>
            <w:tcW w:w="4520" w:type="dxa"/>
            <w:vMerge/>
            <w:shd w:val="clear" w:color="auto" w:fill="auto"/>
          </w:tcPr>
          <w:p w14:paraId="23D3FCE7" w14:textId="77777777" w:rsidR="008E7711" w:rsidRPr="00B86B62" w:rsidRDefault="008E7711" w:rsidP="00BC5F19">
            <w:pPr>
              <w:spacing w:after="0"/>
              <w:jc w:val="both"/>
              <w:rPr>
                <w:rFonts w:ascii="Calibri" w:hAnsi="Calibri" w:cs="Calibri"/>
                <w:b/>
              </w:rPr>
            </w:pPr>
          </w:p>
        </w:tc>
        <w:tc>
          <w:tcPr>
            <w:tcW w:w="2197" w:type="dxa"/>
            <w:shd w:val="clear" w:color="auto" w:fill="auto"/>
          </w:tcPr>
          <w:p w14:paraId="1699EA0F" w14:textId="77777777" w:rsidR="008E7711" w:rsidRPr="00BC5F19" w:rsidRDefault="008E7711" w:rsidP="00BC5F19">
            <w:pPr>
              <w:spacing w:after="0"/>
              <w:jc w:val="center"/>
              <w:rPr>
                <w:rFonts w:ascii="Calibri" w:hAnsi="Calibri" w:cs="Arial"/>
              </w:rPr>
            </w:pPr>
            <w:r w:rsidRPr="00BC5F19">
              <w:rPr>
                <w:rFonts w:ascii="Calibri" w:hAnsi="Calibri" w:cs="Arial"/>
              </w:rPr>
              <w:t>R’</w:t>
            </w:r>
            <w:r w:rsidRPr="00BC5F19">
              <w:rPr>
                <w:rFonts w:ascii="Calibri" w:hAnsi="Calibri" w:cs="Arial"/>
                <w:vertAlign w:val="subscript"/>
              </w:rPr>
              <w:t>w</w:t>
            </w:r>
            <w:r w:rsidRPr="00BC5F19">
              <w:rPr>
                <w:rFonts w:ascii="Calibri" w:hAnsi="Calibri" w:cs="Arial"/>
              </w:rPr>
              <w:t>+ C</w:t>
            </w:r>
            <w:r w:rsidRPr="00BC5F19">
              <w:rPr>
                <w:rFonts w:ascii="Calibri" w:hAnsi="Calibri" w:cs="Arial"/>
                <w:vertAlign w:val="subscript"/>
              </w:rPr>
              <w:t xml:space="preserve">50-3150 </w:t>
            </w:r>
            <w:r w:rsidRPr="00BC5F19">
              <w:rPr>
                <w:rFonts w:ascii="Calibri" w:hAnsi="Calibri" w:cs="Arial"/>
              </w:rPr>
              <w:t xml:space="preserve"> , dB</w:t>
            </w:r>
          </w:p>
        </w:tc>
        <w:tc>
          <w:tcPr>
            <w:tcW w:w="2197" w:type="dxa"/>
            <w:shd w:val="clear" w:color="auto" w:fill="auto"/>
          </w:tcPr>
          <w:p w14:paraId="29B50782" w14:textId="77777777" w:rsidR="008E7711" w:rsidRPr="00BC5F19" w:rsidRDefault="008E7711" w:rsidP="00BC5F19">
            <w:pPr>
              <w:spacing w:after="0"/>
              <w:jc w:val="center"/>
              <w:rPr>
                <w:rFonts w:ascii="Calibri" w:hAnsi="Calibri" w:cs="Arial"/>
              </w:rPr>
            </w:pPr>
            <w:r w:rsidRPr="00BC5F19">
              <w:rPr>
                <w:rFonts w:ascii="Calibri" w:hAnsi="Calibri" w:cs="Arial"/>
              </w:rPr>
              <w:t>R’</w:t>
            </w:r>
            <w:r w:rsidRPr="00BC5F19">
              <w:rPr>
                <w:rFonts w:ascii="Calibri" w:hAnsi="Calibri" w:cs="Arial"/>
                <w:vertAlign w:val="subscript"/>
              </w:rPr>
              <w:t xml:space="preserve">w </w:t>
            </w:r>
            <w:r w:rsidRPr="00BC5F19">
              <w:rPr>
                <w:rFonts w:ascii="Calibri" w:hAnsi="Calibri" w:cs="Arial"/>
              </w:rPr>
              <w:t xml:space="preserve"> , dB</w:t>
            </w:r>
          </w:p>
        </w:tc>
      </w:tr>
      <w:tr w:rsidR="008E7711" w:rsidRPr="00751B31" w14:paraId="26E79137" w14:textId="77777777" w:rsidTr="00456991">
        <w:tc>
          <w:tcPr>
            <w:tcW w:w="4520" w:type="dxa"/>
            <w:shd w:val="clear" w:color="auto" w:fill="auto"/>
          </w:tcPr>
          <w:p w14:paraId="5FC568D7" w14:textId="77777777" w:rsidR="008E7711" w:rsidRPr="00751B31" w:rsidRDefault="008E7711" w:rsidP="00BC5F19">
            <w:pPr>
              <w:spacing w:after="0" w:line="240" w:lineRule="auto"/>
              <w:jc w:val="both"/>
              <w:rPr>
                <w:rFonts w:ascii="Calibri" w:hAnsi="Calibri" w:cs="Calibri"/>
              </w:rPr>
            </w:pPr>
            <w:r w:rsidRPr="00751B31">
              <w:rPr>
                <w:rFonts w:ascii="Calibri" w:hAnsi="Calibri" w:cs="Calibri"/>
              </w:rPr>
              <w:t>Kambariai nuo šalia esančių kitų šio pastato patalpų (butų ar bendro naudojimo patalpų)</w:t>
            </w:r>
          </w:p>
        </w:tc>
        <w:tc>
          <w:tcPr>
            <w:tcW w:w="2197" w:type="dxa"/>
            <w:shd w:val="clear" w:color="auto" w:fill="auto"/>
            <w:vAlign w:val="center"/>
          </w:tcPr>
          <w:p w14:paraId="3353DE84" w14:textId="77777777" w:rsidR="008E7711" w:rsidRPr="00751B31" w:rsidRDefault="008E7711" w:rsidP="00BC5F19">
            <w:pPr>
              <w:spacing w:after="0"/>
              <w:jc w:val="center"/>
              <w:rPr>
                <w:rFonts w:ascii="Calibri" w:hAnsi="Calibri" w:cs="Calibri"/>
                <w:b/>
              </w:rPr>
            </w:pPr>
            <w:r>
              <w:rPr>
                <w:rFonts w:ascii="Calibri" w:hAnsi="Calibri" w:cs="Calibri"/>
                <w:b/>
              </w:rPr>
              <w:t>58</w:t>
            </w:r>
          </w:p>
        </w:tc>
        <w:tc>
          <w:tcPr>
            <w:tcW w:w="2197" w:type="dxa"/>
            <w:shd w:val="clear" w:color="auto" w:fill="auto"/>
            <w:vAlign w:val="center"/>
          </w:tcPr>
          <w:p w14:paraId="338C42B3" w14:textId="77777777" w:rsidR="008E7711" w:rsidRPr="00751B31" w:rsidRDefault="008E7711" w:rsidP="00BC5F19">
            <w:pPr>
              <w:spacing w:after="0"/>
              <w:jc w:val="center"/>
              <w:rPr>
                <w:rFonts w:ascii="Calibri" w:hAnsi="Calibri" w:cs="Calibri"/>
                <w:b/>
              </w:rPr>
            </w:pPr>
            <w:r w:rsidRPr="00751B31">
              <w:rPr>
                <w:rFonts w:ascii="Calibri" w:hAnsi="Calibri" w:cs="Calibri"/>
                <w:b/>
              </w:rPr>
              <w:t>55</w:t>
            </w:r>
          </w:p>
        </w:tc>
      </w:tr>
      <w:tr w:rsidR="008E7711" w:rsidRPr="00751B31" w14:paraId="36C3BA4D" w14:textId="77777777" w:rsidTr="00456991">
        <w:tc>
          <w:tcPr>
            <w:tcW w:w="4520" w:type="dxa"/>
            <w:shd w:val="clear" w:color="auto" w:fill="auto"/>
          </w:tcPr>
          <w:p w14:paraId="1CBAA9B3" w14:textId="77777777" w:rsidR="008E7711" w:rsidRPr="00751B31" w:rsidRDefault="008E7711" w:rsidP="00BC5F19">
            <w:pPr>
              <w:spacing w:after="0" w:line="240" w:lineRule="auto"/>
              <w:jc w:val="both"/>
              <w:rPr>
                <w:rFonts w:ascii="Calibri" w:hAnsi="Calibri" w:cs="Calibri"/>
              </w:rPr>
            </w:pPr>
            <w:r w:rsidRPr="00751B31">
              <w:rPr>
                <w:rFonts w:ascii="Calibri" w:hAnsi="Calibri" w:cs="Calibri"/>
              </w:rPr>
              <w:t>Kambariai nuo</w:t>
            </w:r>
            <w:r>
              <w:rPr>
                <w:rFonts w:ascii="Calibri" w:hAnsi="Calibri" w:cs="Calibri"/>
              </w:rPr>
              <w:t xml:space="preserve"> negyvenamosios paskirties patalpų arba bendrojo garažo</w:t>
            </w:r>
          </w:p>
        </w:tc>
        <w:tc>
          <w:tcPr>
            <w:tcW w:w="2197" w:type="dxa"/>
            <w:shd w:val="clear" w:color="auto" w:fill="auto"/>
            <w:vAlign w:val="center"/>
          </w:tcPr>
          <w:p w14:paraId="400CECC7" w14:textId="77777777" w:rsidR="008E7711" w:rsidRPr="00751B31" w:rsidRDefault="008E7711" w:rsidP="00BC5F19">
            <w:pPr>
              <w:spacing w:after="0"/>
              <w:jc w:val="center"/>
              <w:rPr>
                <w:rFonts w:ascii="Calibri" w:hAnsi="Calibri" w:cs="Calibri"/>
                <w:b/>
              </w:rPr>
            </w:pPr>
            <w:r>
              <w:rPr>
                <w:rFonts w:ascii="Calibri" w:hAnsi="Calibri" w:cs="Calibri"/>
                <w:b/>
              </w:rPr>
              <w:t>63</w:t>
            </w:r>
          </w:p>
        </w:tc>
        <w:tc>
          <w:tcPr>
            <w:tcW w:w="2197" w:type="dxa"/>
            <w:shd w:val="clear" w:color="auto" w:fill="auto"/>
            <w:vAlign w:val="center"/>
          </w:tcPr>
          <w:p w14:paraId="4AE46356" w14:textId="77777777" w:rsidR="008E7711" w:rsidRPr="00751B31" w:rsidRDefault="008E7711" w:rsidP="00BC5F19">
            <w:pPr>
              <w:spacing w:after="0"/>
              <w:jc w:val="center"/>
              <w:rPr>
                <w:rFonts w:ascii="Calibri" w:hAnsi="Calibri" w:cs="Calibri"/>
                <w:b/>
              </w:rPr>
            </w:pPr>
            <w:r>
              <w:rPr>
                <w:rFonts w:ascii="Calibri" w:hAnsi="Calibri" w:cs="Calibri"/>
                <w:b/>
              </w:rPr>
              <w:t>60</w:t>
            </w:r>
          </w:p>
        </w:tc>
      </w:tr>
      <w:tr w:rsidR="008E7711" w:rsidRPr="00751B31" w14:paraId="47BD28D7" w14:textId="77777777" w:rsidTr="00456991">
        <w:trPr>
          <w:trHeight w:val="411"/>
        </w:trPr>
        <w:tc>
          <w:tcPr>
            <w:tcW w:w="4520" w:type="dxa"/>
            <w:vMerge w:val="restart"/>
            <w:shd w:val="clear" w:color="auto" w:fill="auto"/>
            <w:vAlign w:val="center"/>
          </w:tcPr>
          <w:p w14:paraId="0DCEF092" w14:textId="77777777" w:rsidR="008E7711" w:rsidRPr="00B86B62" w:rsidRDefault="008E7711" w:rsidP="00BC5F19">
            <w:pPr>
              <w:spacing w:after="0"/>
              <w:jc w:val="both"/>
              <w:rPr>
                <w:rFonts w:ascii="Calibri" w:hAnsi="Calibri" w:cs="Calibri"/>
                <w:b/>
              </w:rPr>
            </w:pPr>
            <w:r w:rsidRPr="00B86B62">
              <w:rPr>
                <w:rFonts w:ascii="Calibri" w:hAnsi="Calibri" w:cs="Calibri"/>
                <w:b/>
              </w:rPr>
              <w:t>Gyvenamųjų pastatų perdangos</w:t>
            </w:r>
          </w:p>
        </w:tc>
        <w:tc>
          <w:tcPr>
            <w:tcW w:w="4394" w:type="dxa"/>
            <w:gridSpan w:val="2"/>
            <w:shd w:val="clear" w:color="auto" w:fill="auto"/>
            <w:vAlign w:val="center"/>
          </w:tcPr>
          <w:p w14:paraId="56EFC749" w14:textId="77777777" w:rsidR="008E7711" w:rsidRPr="008E7711" w:rsidRDefault="008E7711" w:rsidP="00BC5F19">
            <w:pPr>
              <w:spacing w:after="0"/>
              <w:jc w:val="center"/>
              <w:rPr>
                <w:rFonts w:ascii="Calibri" w:hAnsi="Calibri" w:cs="Arial"/>
                <w:b/>
              </w:rPr>
            </w:pPr>
            <w:r w:rsidRPr="00B86B62">
              <w:rPr>
                <w:rFonts w:ascii="Calibri" w:hAnsi="Calibri" w:cs="Arial"/>
                <w:b/>
              </w:rPr>
              <w:t>Smūgio garso izoliavimo rodiklis</w:t>
            </w:r>
          </w:p>
        </w:tc>
      </w:tr>
      <w:tr w:rsidR="008E7711" w:rsidRPr="00751B31" w14:paraId="7A257EBE" w14:textId="77777777" w:rsidTr="00456991">
        <w:trPr>
          <w:trHeight w:val="418"/>
        </w:trPr>
        <w:tc>
          <w:tcPr>
            <w:tcW w:w="4520" w:type="dxa"/>
            <w:vMerge/>
            <w:shd w:val="clear" w:color="auto" w:fill="auto"/>
          </w:tcPr>
          <w:p w14:paraId="3ED49A78" w14:textId="77777777" w:rsidR="008E7711" w:rsidRPr="00B86B62" w:rsidRDefault="008E7711" w:rsidP="00BC5F19">
            <w:pPr>
              <w:spacing w:after="0"/>
              <w:jc w:val="both"/>
              <w:rPr>
                <w:rFonts w:ascii="Calibri" w:hAnsi="Calibri" w:cs="Calibri"/>
                <w:b/>
              </w:rPr>
            </w:pPr>
          </w:p>
        </w:tc>
        <w:tc>
          <w:tcPr>
            <w:tcW w:w="2197" w:type="dxa"/>
            <w:shd w:val="clear" w:color="auto" w:fill="auto"/>
            <w:vAlign w:val="center"/>
          </w:tcPr>
          <w:p w14:paraId="7D36C9AD" w14:textId="77777777" w:rsidR="008E7711" w:rsidRPr="00BC5F19" w:rsidRDefault="008E7711" w:rsidP="00BC5F19">
            <w:pPr>
              <w:spacing w:after="0" w:line="240" w:lineRule="auto"/>
              <w:jc w:val="center"/>
              <w:rPr>
                <w:rFonts w:ascii="Calibri" w:hAnsi="Calibri" w:cs="Arial"/>
              </w:rPr>
            </w:pPr>
            <w:r w:rsidRPr="00BC5F19">
              <w:rPr>
                <w:rFonts w:ascii="Calibri" w:hAnsi="Calibri" w:cs="Calibri"/>
              </w:rPr>
              <w:t>L’</w:t>
            </w:r>
            <w:r w:rsidRPr="00BC5F19">
              <w:rPr>
                <w:rFonts w:ascii="Calibri" w:hAnsi="Calibri" w:cs="Calibri"/>
                <w:vertAlign w:val="subscript"/>
              </w:rPr>
              <w:t xml:space="preserve">n,w </w:t>
            </w:r>
            <w:r w:rsidRPr="00BC5F19">
              <w:rPr>
                <w:rFonts w:ascii="Calibri" w:hAnsi="Calibri" w:cs="Calibri"/>
              </w:rPr>
              <w:t xml:space="preserve"> + C</w:t>
            </w:r>
            <w:r w:rsidRPr="00BC5F19">
              <w:rPr>
                <w:rFonts w:ascii="Calibri" w:hAnsi="Calibri" w:cs="Calibri"/>
                <w:vertAlign w:val="subscript"/>
              </w:rPr>
              <w:t>1,50-2500</w:t>
            </w:r>
            <w:r w:rsidRPr="00BC5F19">
              <w:rPr>
                <w:rFonts w:ascii="Calibri" w:hAnsi="Calibri" w:cs="Calibri"/>
              </w:rPr>
              <w:t>, dB</w:t>
            </w:r>
          </w:p>
        </w:tc>
        <w:tc>
          <w:tcPr>
            <w:tcW w:w="2197" w:type="dxa"/>
            <w:shd w:val="clear" w:color="auto" w:fill="auto"/>
            <w:vAlign w:val="center"/>
          </w:tcPr>
          <w:p w14:paraId="39E3FB1E" w14:textId="77777777" w:rsidR="008E7711" w:rsidRPr="00BC5F19" w:rsidRDefault="008E7711" w:rsidP="00BC5F19">
            <w:pPr>
              <w:spacing w:after="0" w:line="240" w:lineRule="auto"/>
              <w:jc w:val="center"/>
              <w:rPr>
                <w:rFonts w:ascii="Calibri" w:hAnsi="Calibri" w:cs="Arial"/>
              </w:rPr>
            </w:pPr>
            <w:r w:rsidRPr="00BC5F19">
              <w:rPr>
                <w:rFonts w:ascii="Calibri" w:hAnsi="Calibri" w:cs="Calibri"/>
              </w:rPr>
              <w:t>L’</w:t>
            </w:r>
            <w:r w:rsidRPr="00BC5F19">
              <w:rPr>
                <w:rFonts w:ascii="Calibri" w:hAnsi="Calibri" w:cs="Calibri"/>
                <w:vertAlign w:val="subscript"/>
              </w:rPr>
              <w:t xml:space="preserve">n,w </w:t>
            </w:r>
            <w:r w:rsidRPr="00BC5F19">
              <w:rPr>
                <w:rFonts w:ascii="Calibri" w:hAnsi="Calibri" w:cs="Calibri"/>
              </w:rPr>
              <w:t xml:space="preserve"> , dB</w:t>
            </w:r>
          </w:p>
        </w:tc>
      </w:tr>
      <w:tr w:rsidR="008E7711" w:rsidRPr="00751B31" w14:paraId="41DD0A80" w14:textId="77777777" w:rsidTr="00456991">
        <w:tc>
          <w:tcPr>
            <w:tcW w:w="4520" w:type="dxa"/>
            <w:shd w:val="clear" w:color="auto" w:fill="auto"/>
          </w:tcPr>
          <w:p w14:paraId="0B7C3EDB" w14:textId="77777777" w:rsidR="008E7711" w:rsidRPr="00751B31" w:rsidRDefault="008E7711" w:rsidP="00BC5F19">
            <w:pPr>
              <w:spacing w:after="0"/>
              <w:jc w:val="both"/>
              <w:rPr>
                <w:rFonts w:ascii="Calibri" w:hAnsi="Calibri" w:cs="Calibri"/>
              </w:rPr>
            </w:pPr>
            <w:r w:rsidRPr="00751B31">
              <w:rPr>
                <w:rFonts w:ascii="Calibri" w:hAnsi="Calibri" w:cs="Calibri"/>
              </w:rPr>
              <w:t xml:space="preserve">Kambariai nuo virš jų esančių kitų butų patalpų </w:t>
            </w:r>
          </w:p>
        </w:tc>
        <w:tc>
          <w:tcPr>
            <w:tcW w:w="2197" w:type="dxa"/>
            <w:shd w:val="clear" w:color="auto" w:fill="auto"/>
            <w:vAlign w:val="center"/>
          </w:tcPr>
          <w:p w14:paraId="3884068A" w14:textId="77777777" w:rsidR="008E7711" w:rsidRPr="00751B31" w:rsidRDefault="008E7711" w:rsidP="00BC5F19">
            <w:pPr>
              <w:spacing w:after="0"/>
              <w:jc w:val="center"/>
              <w:rPr>
                <w:rFonts w:ascii="Calibri" w:hAnsi="Calibri" w:cs="Calibri"/>
                <w:b/>
              </w:rPr>
            </w:pPr>
            <w:r>
              <w:rPr>
                <w:rFonts w:ascii="Calibri" w:hAnsi="Calibri" w:cs="Calibri"/>
                <w:b/>
              </w:rPr>
              <w:t>48</w:t>
            </w:r>
          </w:p>
        </w:tc>
        <w:tc>
          <w:tcPr>
            <w:tcW w:w="2197" w:type="dxa"/>
            <w:shd w:val="clear" w:color="auto" w:fill="auto"/>
            <w:vAlign w:val="center"/>
          </w:tcPr>
          <w:p w14:paraId="3BFBB1B4" w14:textId="77777777" w:rsidR="008E7711" w:rsidRPr="00751B31" w:rsidRDefault="008E7711" w:rsidP="00BC5F19">
            <w:pPr>
              <w:spacing w:after="0"/>
              <w:jc w:val="center"/>
              <w:rPr>
                <w:rFonts w:ascii="Calibri" w:hAnsi="Calibri" w:cs="Calibri"/>
                <w:b/>
              </w:rPr>
            </w:pPr>
            <w:r w:rsidRPr="00751B31">
              <w:rPr>
                <w:rFonts w:ascii="Calibri" w:hAnsi="Calibri" w:cs="Calibri"/>
                <w:b/>
              </w:rPr>
              <w:t>53</w:t>
            </w:r>
          </w:p>
        </w:tc>
      </w:tr>
    </w:tbl>
    <w:p w14:paraId="57E8AE9C" w14:textId="33C80513" w:rsidR="00A951B2" w:rsidRDefault="00A951B2" w:rsidP="00BC5F19">
      <w:pPr>
        <w:numPr>
          <w:ilvl w:val="1"/>
          <w:numId w:val="10"/>
        </w:numPr>
        <w:spacing w:after="0" w:line="240" w:lineRule="auto"/>
        <w:jc w:val="both"/>
        <w:rPr>
          <w:rFonts w:ascii="Calibri" w:hAnsi="Calibri" w:cs="Calibri"/>
        </w:rPr>
      </w:pPr>
      <w:r w:rsidRPr="001C60D4">
        <w:rPr>
          <w:rFonts w:ascii="Calibri" w:hAnsi="Calibri" w:cs="Calibri"/>
        </w:rPr>
        <w:t>Techninė specifikacija paruošta remiantis nacionaliniu tech</w:t>
      </w:r>
      <w:r w:rsidR="008E77B4">
        <w:rPr>
          <w:rFonts w:ascii="Calibri" w:hAnsi="Calibri" w:cs="Calibri"/>
        </w:rPr>
        <w:t>niniu įvertinimu NTĮ-01-020:20</w:t>
      </w:r>
      <w:r w:rsidR="007C2363">
        <w:rPr>
          <w:rFonts w:ascii="Calibri" w:hAnsi="Calibri" w:cs="Calibri"/>
        </w:rPr>
        <w:t>24</w:t>
      </w:r>
      <w:r w:rsidRPr="001C60D4">
        <w:rPr>
          <w:rFonts w:ascii="Calibri" w:hAnsi="Calibri" w:cs="Calibri"/>
        </w:rPr>
        <w:t xml:space="preserve"> „Garsą izoliuojančios gelžbetoninių perdangų konstrukcijos su ISOVER mineralinės vatos plokštėmis“. </w:t>
      </w:r>
    </w:p>
    <w:p w14:paraId="147F75E9" w14:textId="77777777" w:rsidR="00A951B2" w:rsidRPr="00764B3A" w:rsidRDefault="00A951B2" w:rsidP="00BC5F19">
      <w:pPr>
        <w:pStyle w:val="1STNormal"/>
        <w:numPr>
          <w:ilvl w:val="0"/>
          <w:numId w:val="10"/>
        </w:numPr>
        <w:pBdr>
          <w:top w:val="none" w:sz="0" w:space="0" w:color="auto"/>
          <w:left w:val="none" w:sz="0" w:space="0" w:color="auto"/>
          <w:bottom w:val="none" w:sz="0" w:space="0" w:color="auto"/>
          <w:right w:val="none" w:sz="0" w:space="0" w:color="auto"/>
        </w:pBdr>
        <w:spacing w:after="0"/>
        <w:jc w:val="both"/>
        <w:rPr>
          <w:rFonts w:ascii="Calibri" w:hAnsi="Calibri" w:cs="Calibri"/>
          <w:b/>
        </w:rPr>
      </w:pPr>
      <w:r w:rsidRPr="00764B3A">
        <w:rPr>
          <w:rFonts w:ascii="Calibri" w:hAnsi="Calibri" w:cs="Calibri"/>
          <w:b/>
        </w:rPr>
        <w:t xml:space="preserve">PAGRINDINIAI NORMATYVINIAI DOKUMENTAI </w:t>
      </w:r>
      <w:r>
        <w:rPr>
          <w:rFonts w:ascii="Calibri" w:hAnsi="Calibri" w:cs="Calibri"/>
          <w:b/>
        </w:rPr>
        <w:t xml:space="preserve"> </w:t>
      </w:r>
    </w:p>
    <w:p w14:paraId="78DB19F2" w14:textId="77777777"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Lietuvos Respublikos statybos įstatymas.</w:t>
      </w:r>
    </w:p>
    <w:p w14:paraId="087F62DC" w14:textId="77777777" w:rsidR="00A951B2" w:rsidRPr="00764B3A" w:rsidRDefault="00A951B2" w:rsidP="00BC5F19">
      <w:pPr>
        <w:numPr>
          <w:ilvl w:val="1"/>
          <w:numId w:val="10"/>
        </w:numPr>
        <w:spacing w:after="0" w:line="240" w:lineRule="auto"/>
        <w:jc w:val="both"/>
        <w:rPr>
          <w:rFonts w:ascii="Calibri" w:hAnsi="Calibri" w:cs="Calibri"/>
        </w:rPr>
      </w:pPr>
      <w:r>
        <w:rPr>
          <w:rFonts w:ascii="Calibri" w:hAnsi="Calibri" w:cs="Calibri"/>
        </w:rPr>
        <w:t>STR 1.01.02:2016</w:t>
      </w:r>
      <w:r w:rsidRPr="00764B3A">
        <w:rPr>
          <w:rFonts w:ascii="Calibri" w:hAnsi="Calibri" w:cs="Calibri"/>
        </w:rPr>
        <w:t xml:space="preserve"> „Normatyviniai statybos techniniai dokumentai“.</w:t>
      </w:r>
    </w:p>
    <w:p w14:paraId="1A0054D6" w14:textId="77777777"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STR 2.01.01(5):2008 „Esminiai statinio reikalavimai. Apsauga nuo triukšmo“.</w:t>
      </w:r>
    </w:p>
    <w:p w14:paraId="19C35117" w14:textId="77777777"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STR 2.01.07:2003 „Pastatų vidaus ir išorės aplinkos apsauga nuo triukšmo“.</w:t>
      </w:r>
      <w:r w:rsidRPr="00764B3A">
        <w:rPr>
          <w:rFonts w:ascii="Calibri" w:hAnsi="Calibri" w:cs="Calibri"/>
        </w:rPr>
        <w:tab/>
      </w:r>
    </w:p>
    <w:p w14:paraId="750A8D6F" w14:textId="66675DB5" w:rsidR="00A951B2" w:rsidRPr="005D0F7C" w:rsidRDefault="00A951B2" w:rsidP="005D0F7C">
      <w:pPr>
        <w:pStyle w:val="ListParagraph"/>
        <w:numPr>
          <w:ilvl w:val="1"/>
          <w:numId w:val="10"/>
        </w:numPr>
        <w:rPr>
          <w:rFonts w:ascii="Calibri" w:eastAsiaTheme="minorHAnsi" w:hAnsi="Calibri" w:cs="Calibri"/>
          <w:sz w:val="22"/>
          <w:szCs w:val="22"/>
        </w:rPr>
      </w:pPr>
      <w:r w:rsidRPr="005D0F7C">
        <w:rPr>
          <w:rFonts w:ascii="Calibri" w:hAnsi="Calibri" w:cs="Calibri"/>
          <w:sz w:val="22"/>
          <w:szCs w:val="22"/>
        </w:rPr>
        <w:t>2011 m. kovo 9 d.  Europos Parlamento ir Tarybos Reglamentas (ES) Nr. 305/2011/EB</w:t>
      </w:r>
      <w:r w:rsidR="005D0F7C" w:rsidRPr="005D0F7C">
        <w:rPr>
          <w:rFonts w:ascii="Calibri" w:hAnsi="Calibri" w:cs="Calibri"/>
          <w:sz w:val="22"/>
          <w:szCs w:val="22"/>
        </w:rPr>
        <w:t xml:space="preserve">, </w:t>
      </w:r>
      <w:r w:rsidR="005D0F7C" w:rsidRPr="005D0F7C">
        <w:rPr>
          <w:rFonts w:ascii="Calibri" w:eastAsiaTheme="minorHAnsi" w:hAnsi="Calibri" w:cs="Calibri"/>
          <w:sz w:val="22"/>
          <w:szCs w:val="22"/>
        </w:rPr>
        <w:t>(ES) 2024/3110</w:t>
      </w:r>
      <w:r w:rsidRPr="005D0F7C">
        <w:rPr>
          <w:rFonts w:ascii="Calibri" w:hAnsi="Calibri" w:cs="Calibri"/>
          <w:sz w:val="22"/>
          <w:szCs w:val="22"/>
        </w:rPr>
        <w:t xml:space="preserve">. </w:t>
      </w:r>
    </w:p>
    <w:p w14:paraId="30E0D05D" w14:textId="77777777" w:rsidR="00A951B2" w:rsidRPr="00764B3A" w:rsidRDefault="00A951B2" w:rsidP="00BC5F19">
      <w:pPr>
        <w:numPr>
          <w:ilvl w:val="1"/>
          <w:numId w:val="10"/>
        </w:numPr>
        <w:spacing w:after="0" w:line="240" w:lineRule="auto"/>
        <w:jc w:val="both"/>
        <w:rPr>
          <w:rFonts w:ascii="Calibri" w:hAnsi="Calibri" w:cs="Calibri"/>
        </w:rPr>
      </w:pPr>
      <w:r>
        <w:rPr>
          <w:rFonts w:ascii="Calibri" w:hAnsi="Calibri" w:cs="Calibri"/>
        </w:rPr>
        <w:t xml:space="preserve">STR </w:t>
      </w:r>
      <w:r w:rsidRPr="00CF5725">
        <w:rPr>
          <w:rFonts w:ascii="Calibri" w:hAnsi="Calibri" w:cs="Calibri"/>
        </w:rPr>
        <w:t>1.01.04:2015</w:t>
      </w:r>
      <w:r w:rsidRPr="00764B3A">
        <w:rPr>
          <w:rFonts w:ascii="Calibri" w:hAnsi="Calibri" w:cs="Calibri"/>
        </w:rPr>
        <w:t xml:space="preserve"> „Statybos produktų, neturinčių darniųjų techninių specifikacijų, eksploatacinių savybių pastovumo vertinimas, tikrinimas ir deklaravimas. Bandymų laboratorijų ir sertifikavimo įstaigų paskyrimas</w:t>
      </w:r>
      <w:r>
        <w:rPr>
          <w:rFonts w:ascii="Calibri" w:hAnsi="Calibri" w:cs="Calibri"/>
        </w:rPr>
        <w:t xml:space="preserve">. </w:t>
      </w:r>
      <w:r w:rsidRPr="006F0E47">
        <w:rPr>
          <w:rFonts w:ascii="Calibri" w:hAnsi="Calibri" w:cs="Calibri"/>
          <w:szCs w:val="24"/>
          <w:lang w:eastAsia="lt-LT"/>
        </w:rPr>
        <w:t>Nacionaliniai techniniai įvertinimai ir techninio vertinimo įstaigų paskyrimas ir paskelbimas</w:t>
      </w:r>
      <w:r>
        <w:rPr>
          <w:rFonts w:ascii="Calibri" w:hAnsi="Calibri" w:cs="Calibri"/>
          <w:szCs w:val="24"/>
          <w:lang w:eastAsia="lt-LT"/>
        </w:rPr>
        <w:t>”.</w:t>
      </w:r>
    </w:p>
    <w:p w14:paraId="3BA64F23" w14:textId="77777777"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STR 2.05.04:2003 „Poveikiai ir apkrovos“.</w:t>
      </w:r>
    </w:p>
    <w:p w14:paraId="7636B2E6" w14:textId="77777777"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PAGD VR 2010-12-07 „Gaisrinės saugos pagrindiniai reikalavimai (taisyklės)“, su p</w:t>
      </w:r>
      <w:r w:rsidR="00181D14">
        <w:rPr>
          <w:rFonts w:ascii="Calibri" w:hAnsi="Calibri" w:cs="Calibri"/>
        </w:rPr>
        <w:t>akeitimais.</w:t>
      </w:r>
    </w:p>
    <w:p w14:paraId="2B7A22CF" w14:textId="77777777"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PAGD VR 2011-01-17 „Visuomeninių statinių gaisrinės saugos taisyklės“.</w:t>
      </w:r>
    </w:p>
    <w:p w14:paraId="07961F6B" w14:textId="77777777"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LST EN 13162:2009 „Statybiniai termoizoliaciniai gaminiai. Gamykliniai mineralinės vatos (MW) gaminiai. Techniniai reikalavimai.“</w:t>
      </w:r>
    </w:p>
    <w:p w14:paraId="253FF289" w14:textId="69A24EE9"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Nacionalinis techninis įvertinimas NTĮ</w:t>
      </w:r>
      <w:r w:rsidR="00784A13">
        <w:rPr>
          <w:rFonts w:ascii="Calibri" w:hAnsi="Calibri" w:cs="Calibri"/>
        </w:rPr>
        <w:t>-01-020:20</w:t>
      </w:r>
      <w:r w:rsidR="007C2363">
        <w:rPr>
          <w:rFonts w:ascii="Calibri" w:hAnsi="Calibri" w:cs="Calibri"/>
        </w:rPr>
        <w:t>24</w:t>
      </w:r>
      <w:r w:rsidRPr="00764B3A">
        <w:rPr>
          <w:rFonts w:ascii="Calibri" w:hAnsi="Calibri" w:cs="Calibri"/>
        </w:rPr>
        <w:t xml:space="preserve"> „Garsą izoliuojančios gelžbetoninių perdangų konstrukcijos su ISOVER mineralinės vatos plokštėmis“.</w:t>
      </w:r>
    </w:p>
    <w:p w14:paraId="2148411F" w14:textId="77777777" w:rsidR="00A951B2" w:rsidRPr="00764B3A" w:rsidRDefault="00A951B2" w:rsidP="00BC5F19">
      <w:pPr>
        <w:pStyle w:val="1STNormal"/>
        <w:numPr>
          <w:ilvl w:val="0"/>
          <w:numId w:val="10"/>
        </w:numPr>
        <w:pBdr>
          <w:top w:val="none" w:sz="0" w:space="0" w:color="auto"/>
          <w:left w:val="none" w:sz="0" w:space="0" w:color="auto"/>
          <w:bottom w:val="none" w:sz="0" w:space="0" w:color="auto"/>
          <w:right w:val="none" w:sz="0" w:space="0" w:color="auto"/>
        </w:pBdr>
        <w:spacing w:after="0"/>
        <w:jc w:val="both"/>
        <w:rPr>
          <w:rFonts w:ascii="Calibri" w:hAnsi="Calibri" w:cs="Calibri"/>
          <w:b/>
        </w:rPr>
      </w:pPr>
      <w:r w:rsidRPr="00764B3A">
        <w:rPr>
          <w:rFonts w:ascii="Calibri" w:hAnsi="Calibri" w:cs="Calibri"/>
          <w:b/>
        </w:rPr>
        <w:t>BENDRIEJI  NURODYMAI</w:t>
      </w:r>
    </w:p>
    <w:p w14:paraId="6BF70372" w14:textId="73FA82E5"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Techninėje specifikacijoje vartojamos sąvokos suprantamos taip, kaip jos apibrėžtos Statybos įstatyme.</w:t>
      </w:r>
      <w:r>
        <w:rPr>
          <w:rFonts w:ascii="Calibri" w:hAnsi="Calibri" w:cs="Calibri"/>
        </w:rPr>
        <w:t xml:space="preserve"> </w:t>
      </w:r>
      <w:r w:rsidRPr="00764B3A">
        <w:rPr>
          <w:rFonts w:ascii="Calibri" w:hAnsi="Calibri" w:cs="Calibri"/>
        </w:rPr>
        <w:t xml:space="preserve">Kitos Reglamente vartojamos sąvokos apibrėžtos STR 2.01.01(5):2008 „Esminiai statinio reikalavimai. Apsauga nuo triukšmo“, Nacionalinis techninis įvertinimas NTĮ </w:t>
      </w:r>
      <w:r w:rsidR="00784A13">
        <w:rPr>
          <w:rFonts w:ascii="Calibri" w:hAnsi="Calibri" w:cs="Calibri"/>
        </w:rPr>
        <w:t>-01-020:20</w:t>
      </w:r>
      <w:r w:rsidR="007C2363">
        <w:rPr>
          <w:rFonts w:ascii="Calibri" w:hAnsi="Calibri" w:cs="Calibri"/>
        </w:rPr>
        <w:t>24</w:t>
      </w:r>
      <w:r w:rsidRPr="00764B3A">
        <w:rPr>
          <w:rFonts w:ascii="Calibri" w:hAnsi="Calibri" w:cs="Calibri"/>
        </w:rPr>
        <w:t xml:space="preserve"> „Garsą izoliuojančios gelžbetoninių perdangų konstrukcijos su ISOVER mineralinės vatos plokštėmis“.</w:t>
      </w:r>
    </w:p>
    <w:p w14:paraId="7E4C2DA9" w14:textId="77777777"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lastRenderedPageBreak/>
        <w:t>Garsą izoliuojančios perdangos turi būti apsaugotos nuo tiesioginio vandens patekimo, naudotinos šildomose patalpose su normaliai veikiančia ventiliacija.</w:t>
      </w:r>
    </w:p>
    <w:p w14:paraId="4B80B956" w14:textId="77777777"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 xml:space="preserve">Visų garsą izoliuojančioje perdangos konstrukcijoje panaudotų medžiagų atitiktis vertinama pagal eksploatacinių savybių deklaracijose (Reglamentas (ES) Nr. 305/2011/EB </w:t>
      </w:r>
      <w:r w:rsidRPr="00CF5725">
        <w:rPr>
          <w:rFonts w:ascii="Calibri" w:hAnsi="Calibri" w:cs="Calibri"/>
        </w:rPr>
        <w:t>bei STR 1.01.04:2015)</w:t>
      </w:r>
      <w:r w:rsidRPr="00764B3A">
        <w:rPr>
          <w:rFonts w:ascii="Calibri" w:hAnsi="Calibri" w:cs="Calibri"/>
        </w:rPr>
        <w:t xml:space="preserve"> pateiktas rodiklių vertes.</w:t>
      </w:r>
    </w:p>
    <w:p w14:paraId="2452E558" w14:textId="77777777"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Projektuojant ir statant garsą izoliuojančias perdangų konstrukcijas, būtina tinkamai įvertinti galimą apylankinį ir šalutinį garso sklidimą.</w:t>
      </w:r>
    </w:p>
    <w:p w14:paraId="1B35374A" w14:textId="77777777" w:rsidR="00A951B2" w:rsidRPr="00BF3DA5" w:rsidRDefault="00A951B2" w:rsidP="00BC5F19">
      <w:pPr>
        <w:numPr>
          <w:ilvl w:val="1"/>
          <w:numId w:val="10"/>
        </w:numPr>
        <w:spacing w:after="0" w:line="240" w:lineRule="auto"/>
        <w:jc w:val="both"/>
        <w:rPr>
          <w:rFonts w:ascii="Calibri" w:hAnsi="Calibri" w:cs="Calibri"/>
        </w:rPr>
      </w:pPr>
      <w:r w:rsidRPr="00764B3A">
        <w:rPr>
          <w:rFonts w:ascii="Calibri" w:hAnsi="Calibri" w:cs="Calibri"/>
        </w:rPr>
        <w:t>Garsą izoliuojančiai gelžbetoninei perdangai įrengti naudojamas betonas, skiedinys, birus užpildas, kurių degumo kl</w:t>
      </w:r>
      <w:r>
        <w:rPr>
          <w:rFonts w:ascii="Calibri" w:hAnsi="Calibri" w:cs="Calibri"/>
        </w:rPr>
        <w:t>asė pagal standartą LST EN 1350</w:t>
      </w:r>
      <w:r w:rsidRPr="00764B3A">
        <w:rPr>
          <w:rFonts w:ascii="Calibri" w:hAnsi="Calibri" w:cs="Calibri"/>
        </w:rPr>
        <w:t>1-1 yra A1 (pagal Komisijos sprendimą 2000/605 EB). Judriųjų grindų danga turi būti įrengiama iš statybos produktų, kurių degumo klasė atitinka ”Gaisrinės saugos pagrindiniai reikalavimai“ (taisyklės) reikalavimus.  Garso izoliacijai naudojamų mineralinės vatos plokščių degu</w:t>
      </w:r>
      <w:r w:rsidR="00784A13">
        <w:rPr>
          <w:rFonts w:ascii="Calibri" w:hAnsi="Calibri" w:cs="Calibri"/>
        </w:rPr>
        <w:t>mo klasė</w:t>
      </w:r>
      <w:r w:rsidRPr="00764B3A">
        <w:rPr>
          <w:rFonts w:ascii="Calibri" w:hAnsi="Calibri" w:cs="Calibri"/>
        </w:rPr>
        <w:t xml:space="preserve"> A2-s1, d0.</w:t>
      </w:r>
    </w:p>
    <w:p w14:paraId="6396CEF3" w14:textId="77777777" w:rsidR="00A951B2" w:rsidRPr="00764B3A" w:rsidRDefault="00A951B2" w:rsidP="00BC5F19">
      <w:pPr>
        <w:pStyle w:val="1STNormal"/>
        <w:numPr>
          <w:ilvl w:val="0"/>
          <w:numId w:val="10"/>
        </w:numPr>
        <w:pBdr>
          <w:top w:val="none" w:sz="0" w:space="0" w:color="auto"/>
          <w:left w:val="none" w:sz="0" w:space="0" w:color="auto"/>
          <w:bottom w:val="none" w:sz="0" w:space="0" w:color="auto"/>
          <w:right w:val="none" w:sz="0" w:space="0" w:color="auto"/>
        </w:pBdr>
        <w:spacing w:after="0"/>
        <w:jc w:val="both"/>
        <w:rPr>
          <w:rFonts w:ascii="Calibri" w:hAnsi="Calibri" w:cs="Calibri"/>
          <w:b/>
        </w:rPr>
      </w:pPr>
      <w:r w:rsidRPr="00764B3A">
        <w:rPr>
          <w:rFonts w:ascii="Calibri" w:hAnsi="Calibri" w:cs="Calibri"/>
          <w:b/>
        </w:rPr>
        <w:t>GARSĄ IZOLIUOJANČIOS PERDANGOS KONSTRUKCIJA</w:t>
      </w:r>
    </w:p>
    <w:p w14:paraId="2B8E1B8B" w14:textId="77777777" w:rsidR="00A951B2" w:rsidRPr="00BF3DA5" w:rsidRDefault="00A951B2" w:rsidP="00BC5F19">
      <w:pPr>
        <w:numPr>
          <w:ilvl w:val="1"/>
          <w:numId w:val="10"/>
        </w:numPr>
        <w:spacing w:after="0" w:line="240" w:lineRule="auto"/>
        <w:jc w:val="both"/>
        <w:rPr>
          <w:rFonts w:ascii="Calibri" w:hAnsi="Calibri" w:cs="Calibri"/>
        </w:rPr>
      </w:pPr>
      <w:r w:rsidRPr="002721DF">
        <w:rPr>
          <w:rFonts w:ascii="Calibri" w:hAnsi="Calibri" w:cs="Calibri"/>
        </w:rPr>
        <w:t xml:space="preserve">Garsą izoliuojanti perdangos konstrukcija susideda is apkrovas laikančios perdangos plokštės ir judriųjų grindų konstrukcijos, be grindų dangos arba su papildoma apdailine grindų danga. </w:t>
      </w:r>
      <w:r>
        <w:rPr>
          <w:rFonts w:ascii="Calibri" w:hAnsi="Calibri" w:cs="Calibri"/>
        </w:rPr>
        <w:t>Konstrukcija ir jos komponentai pateikiami lentelėje L 1.</w:t>
      </w:r>
    </w:p>
    <w:p w14:paraId="05C3601E" w14:textId="77777777" w:rsidR="00A951B2" w:rsidRPr="00181D14" w:rsidRDefault="00A951B2" w:rsidP="00BC5F19">
      <w:pPr>
        <w:pStyle w:val="1STNormal"/>
        <w:pBdr>
          <w:top w:val="none" w:sz="0" w:space="0" w:color="auto"/>
          <w:left w:val="none" w:sz="0" w:space="0" w:color="auto"/>
          <w:bottom w:val="none" w:sz="0" w:space="0" w:color="auto"/>
          <w:right w:val="none" w:sz="0" w:space="0" w:color="auto"/>
        </w:pBdr>
        <w:tabs>
          <w:tab w:val="clear" w:pos="360"/>
        </w:tabs>
        <w:spacing w:before="0" w:after="0"/>
        <w:ind w:left="8280" w:firstLine="360"/>
        <w:jc w:val="both"/>
        <w:rPr>
          <w:rFonts w:ascii="Calibri" w:hAnsi="Calibri" w:cs="Calibri"/>
          <w:i/>
          <w:sz w:val="20"/>
          <w:lang w:val="en-US"/>
        </w:rPr>
      </w:pPr>
      <w:r w:rsidRPr="00181D14">
        <w:rPr>
          <w:rFonts w:ascii="Calibri" w:hAnsi="Calibri" w:cs="Calibri"/>
          <w:i/>
          <w:sz w:val="20"/>
        </w:rPr>
        <w:t>Lentelė L</w:t>
      </w:r>
      <w:r w:rsidRPr="00181D14">
        <w:rPr>
          <w:rFonts w:ascii="Calibri" w:hAnsi="Calibri" w:cs="Calibri"/>
          <w:i/>
          <w:sz w:val="20"/>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892"/>
      </w:tblGrid>
      <w:tr w:rsidR="00A951B2" w:rsidRPr="002721DF" w14:paraId="7C89AF33" w14:textId="77777777" w:rsidTr="003505AB">
        <w:trPr>
          <w:trHeight w:val="539"/>
          <w:jc w:val="center"/>
        </w:trPr>
        <w:tc>
          <w:tcPr>
            <w:tcW w:w="2669" w:type="dxa"/>
            <w:shd w:val="clear" w:color="auto" w:fill="auto"/>
            <w:vAlign w:val="center"/>
          </w:tcPr>
          <w:p w14:paraId="334B105A" w14:textId="77777777" w:rsidR="00A951B2" w:rsidRPr="002721DF" w:rsidRDefault="00A951B2" w:rsidP="00BC5F19">
            <w:pPr>
              <w:pStyle w:val="Header"/>
              <w:jc w:val="both"/>
              <w:rPr>
                <w:rFonts w:ascii="Calibri" w:hAnsi="Calibri" w:cs="Calibri"/>
                <w:b/>
                <w:bCs/>
                <w:iCs/>
              </w:rPr>
            </w:pPr>
            <w:r>
              <w:rPr>
                <w:rFonts w:ascii="Calibri" w:hAnsi="Calibri" w:cs="Calibri"/>
                <w:b/>
                <w:bCs/>
                <w:iCs/>
              </w:rPr>
              <w:t>Konstrukcija/</w:t>
            </w:r>
            <w:r w:rsidRPr="002721DF">
              <w:rPr>
                <w:rFonts w:ascii="Calibri" w:hAnsi="Calibri" w:cs="Calibri"/>
                <w:b/>
                <w:bCs/>
                <w:iCs/>
              </w:rPr>
              <w:t>komponentai</w:t>
            </w:r>
          </w:p>
        </w:tc>
        <w:tc>
          <w:tcPr>
            <w:tcW w:w="6892" w:type="dxa"/>
            <w:shd w:val="clear" w:color="auto" w:fill="auto"/>
            <w:vAlign w:val="center"/>
          </w:tcPr>
          <w:p w14:paraId="61BF2209" w14:textId="77777777" w:rsidR="00A951B2" w:rsidRPr="002721DF" w:rsidRDefault="00A951B2" w:rsidP="00BC5F19">
            <w:pPr>
              <w:pStyle w:val="Header"/>
              <w:jc w:val="both"/>
              <w:rPr>
                <w:rFonts w:ascii="Calibri" w:hAnsi="Calibri" w:cs="Calibri"/>
                <w:b/>
                <w:bCs/>
                <w:iCs/>
              </w:rPr>
            </w:pPr>
            <w:r w:rsidRPr="002721DF">
              <w:rPr>
                <w:rFonts w:ascii="Calibri" w:hAnsi="Calibri" w:cs="Calibri"/>
                <w:b/>
                <w:bCs/>
                <w:iCs/>
              </w:rPr>
              <w:t>Komponentų aprašymas</w:t>
            </w:r>
          </w:p>
        </w:tc>
      </w:tr>
      <w:tr w:rsidR="00A951B2" w:rsidRPr="002721DF" w14:paraId="35D44947" w14:textId="77777777" w:rsidTr="003505AB">
        <w:trPr>
          <w:jc w:val="center"/>
        </w:trPr>
        <w:tc>
          <w:tcPr>
            <w:tcW w:w="2669" w:type="dxa"/>
            <w:shd w:val="clear" w:color="auto" w:fill="auto"/>
            <w:vAlign w:val="center"/>
          </w:tcPr>
          <w:p w14:paraId="49132200" w14:textId="77777777" w:rsidR="00A951B2" w:rsidRPr="002721DF" w:rsidRDefault="00A951B2" w:rsidP="00BC5F19">
            <w:pPr>
              <w:pStyle w:val="Header"/>
              <w:jc w:val="both"/>
              <w:rPr>
                <w:rFonts w:ascii="Calibri" w:hAnsi="Calibri" w:cs="Calibri"/>
                <w:bCs/>
                <w:iCs/>
              </w:rPr>
            </w:pPr>
            <w:r w:rsidRPr="002721DF">
              <w:rPr>
                <w:rFonts w:ascii="Calibri" w:hAnsi="Calibri" w:cs="Calibri"/>
                <w:bCs/>
                <w:iCs/>
              </w:rPr>
              <w:t>Betono/skiedinio sluoksnis</w:t>
            </w:r>
          </w:p>
        </w:tc>
        <w:tc>
          <w:tcPr>
            <w:tcW w:w="6892" w:type="dxa"/>
            <w:shd w:val="clear" w:color="auto" w:fill="auto"/>
            <w:vAlign w:val="center"/>
          </w:tcPr>
          <w:p w14:paraId="7E0C382E" w14:textId="77777777" w:rsidR="00A951B2" w:rsidRPr="002721DF" w:rsidRDefault="00A951B2" w:rsidP="00BC5F19">
            <w:pPr>
              <w:pStyle w:val="Header"/>
              <w:jc w:val="both"/>
              <w:rPr>
                <w:rFonts w:ascii="Calibri" w:hAnsi="Calibri" w:cs="Calibri"/>
                <w:bCs/>
                <w:iCs/>
              </w:rPr>
            </w:pPr>
            <w:r w:rsidRPr="002721DF">
              <w:rPr>
                <w:rFonts w:ascii="Calibri" w:hAnsi="Calibri" w:cs="Calibri"/>
                <w:bCs/>
                <w:iCs/>
              </w:rPr>
              <w:t xml:space="preserve">cementinio skiedinio ar smėlbetonio sluoksnis, armuotas armatūros tinklu arba plieniniu / polimeriniu pluoštu; </w:t>
            </w:r>
            <w:r w:rsidR="00784A13">
              <w:rPr>
                <w:rFonts w:ascii="Calibri" w:hAnsi="Calibri" w:cs="Calibri"/>
                <w:bCs/>
                <w:iCs/>
              </w:rPr>
              <w:t>sluoksnio storis 6</w:t>
            </w:r>
            <w:r w:rsidRPr="002721DF">
              <w:rPr>
                <w:rFonts w:ascii="Calibri" w:hAnsi="Calibri" w:cs="Calibri"/>
                <w:bCs/>
                <w:iCs/>
              </w:rPr>
              <w:t>0 ÷ 80 mm</w:t>
            </w:r>
            <w:r w:rsidRPr="002721DF">
              <w:rPr>
                <w:rFonts w:ascii="Calibri" w:hAnsi="Calibri" w:cs="Calibri"/>
                <w:bCs/>
                <w:iCs/>
                <w:vertAlign w:val="superscript"/>
                <w:lang w:val="en-US"/>
              </w:rPr>
              <w:t>1)</w:t>
            </w:r>
          </w:p>
        </w:tc>
      </w:tr>
      <w:tr w:rsidR="00A951B2" w:rsidRPr="002721DF" w14:paraId="7FF6EDA0" w14:textId="77777777" w:rsidTr="003505AB">
        <w:trPr>
          <w:jc w:val="center"/>
        </w:trPr>
        <w:tc>
          <w:tcPr>
            <w:tcW w:w="2669" w:type="dxa"/>
            <w:shd w:val="clear" w:color="auto" w:fill="auto"/>
            <w:vAlign w:val="center"/>
          </w:tcPr>
          <w:p w14:paraId="2C0BF958" w14:textId="77777777" w:rsidR="00A951B2" w:rsidRPr="002721DF" w:rsidRDefault="00A951B2" w:rsidP="00BC5F19">
            <w:pPr>
              <w:pStyle w:val="Header"/>
              <w:jc w:val="both"/>
              <w:rPr>
                <w:rFonts w:ascii="Calibri" w:hAnsi="Calibri" w:cs="Calibri"/>
                <w:bCs/>
                <w:iCs/>
              </w:rPr>
            </w:pPr>
            <w:r w:rsidRPr="002721DF">
              <w:rPr>
                <w:rFonts w:ascii="Calibri" w:hAnsi="Calibri" w:cs="Calibri"/>
                <w:bCs/>
                <w:iCs/>
              </w:rPr>
              <w:t>Atskiriamasis sluoksnis</w:t>
            </w:r>
          </w:p>
        </w:tc>
        <w:tc>
          <w:tcPr>
            <w:tcW w:w="6892" w:type="dxa"/>
            <w:shd w:val="clear" w:color="auto" w:fill="auto"/>
            <w:vAlign w:val="center"/>
          </w:tcPr>
          <w:p w14:paraId="6269628F" w14:textId="77777777" w:rsidR="00A951B2" w:rsidRPr="002721DF" w:rsidRDefault="00A951B2" w:rsidP="00BC5F19">
            <w:pPr>
              <w:pStyle w:val="Header"/>
              <w:jc w:val="both"/>
              <w:rPr>
                <w:rFonts w:ascii="Calibri" w:hAnsi="Calibri" w:cs="Calibri"/>
                <w:bCs/>
                <w:iCs/>
              </w:rPr>
            </w:pPr>
            <w:r w:rsidRPr="002721DF">
              <w:rPr>
                <w:rFonts w:ascii="Calibri" w:hAnsi="Calibri" w:cs="Calibri"/>
                <w:bCs/>
                <w:iCs/>
              </w:rPr>
              <w:t>PE plėvelė, betonavimo popierius</w:t>
            </w:r>
          </w:p>
        </w:tc>
      </w:tr>
      <w:tr w:rsidR="00A951B2" w:rsidRPr="002721DF" w14:paraId="50FCF495" w14:textId="77777777" w:rsidTr="003505AB">
        <w:trPr>
          <w:trHeight w:val="624"/>
          <w:jc w:val="center"/>
        </w:trPr>
        <w:tc>
          <w:tcPr>
            <w:tcW w:w="2669" w:type="dxa"/>
            <w:shd w:val="clear" w:color="auto" w:fill="auto"/>
            <w:vAlign w:val="center"/>
          </w:tcPr>
          <w:p w14:paraId="3F06FF9F" w14:textId="77777777" w:rsidR="00A951B2" w:rsidRPr="002721DF" w:rsidRDefault="00A951B2" w:rsidP="00BC5F19">
            <w:pPr>
              <w:pStyle w:val="Header"/>
              <w:jc w:val="both"/>
              <w:rPr>
                <w:rFonts w:ascii="Calibri" w:hAnsi="Calibri" w:cs="Calibri"/>
                <w:bCs/>
                <w:iCs/>
              </w:rPr>
            </w:pPr>
            <w:r w:rsidRPr="002721DF">
              <w:rPr>
                <w:rFonts w:ascii="Calibri" w:hAnsi="Calibri" w:cs="Calibri"/>
                <w:bCs/>
                <w:iCs/>
              </w:rPr>
              <w:t>Garsą izoliuojanti mineralinės vatos plokštė</w:t>
            </w:r>
          </w:p>
        </w:tc>
        <w:tc>
          <w:tcPr>
            <w:tcW w:w="6892" w:type="dxa"/>
            <w:shd w:val="clear" w:color="auto" w:fill="auto"/>
            <w:vAlign w:val="center"/>
          </w:tcPr>
          <w:p w14:paraId="0A895134" w14:textId="77777777" w:rsidR="00A951B2" w:rsidRPr="00FD2F9A" w:rsidRDefault="00A951B2" w:rsidP="00BC5F19">
            <w:pPr>
              <w:pStyle w:val="Header"/>
              <w:jc w:val="both"/>
              <w:rPr>
                <w:rFonts w:ascii="Calibri" w:hAnsi="Calibri" w:cs="Calibri"/>
                <w:bCs/>
                <w:iCs/>
              </w:rPr>
            </w:pPr>
            <w:r w:rsidRPr="00FD2F9A">
              <w:rPr>
                <w:rFonts w:ascii="Calibri" w:hAnsi="Calibri" w:cs="Calibri"/>
                <w:bCs/>
                <w:iCs/>
              </w:rPr>
              <w:t>Isover FLO</w:t>
            </w:r>
            <w:r>
              <w:rPr>
                <w:rFonts w:ascii="Calibri" w:hAnsi="Calibri" w:cs="Calibri"/>
                <w:bCs/>
                <w:iCs/>
              </w:rPr>
              <w:t>,</w:t>
            </w:r>
            <w:r w:rsidRPr="00FD2F9A">
              <w:rPr>
                <w:rFonts w:ascii="Calibri" w:hAnsi="Calibri" w:cs="Calibri"/>
                <w:bCs/>
                <w:iCs/>
              </w:rPr>
              <w:t xml:space="preserve"> </w:t>
            </w:r>
            <w:r w:rsidRPr="00852049">
              <w:rPr>
                <w:rFonts w:ascii="Calibri" w:hAnsi="Calibri" w:cs="Calibri"/>
                <w:bCs/>
                <w:iCs/>
              </w:rPr>
              <w:t>storis: 20</w:t>
            </w:r>
            <w:r w:rsidR="00784A13">
              <w:rPr>
                <w:rFonts w:ascii="Calibri" w:hAnsi="Calibri" w:cs="Calibri"/>
                <w:bCs/>
                <w:iCs/>
              </w:rPr>
              <w:t xml:space="preserve"> mm</w:t>
            </w:r>
            <w:r w:rsidRPr="00852049">
              <w:rPr>
                <w:rFonts w:ascii="Calibri" w:hAnsi="Calibri" w:cs="Calibri"/>
                <w:bCs/>
                <w:iCs/>
              </w:rPr>
              <w:t>, 30 mm</w:t>
            </w:r>
            <w:r w:rsidR="00784A13">
              <w:rPr>
                <w:rFonts w:ascii="Calibri" w:hAnsi="Calibri" w:cs="Calibri"/>
                <w:bCs/>
                <w:iCs/>
              </w:rPr>
              <w:t>, 20+20 mm, 50 mm</w:t>
            </w:r>
          </w:p>
        </w:tc>
      </w:tr>
      <w:tr w:rsidR="00A951B2" w:rsidRPr="002721DF" w14:paraId="7F23CD5F" w14:textId="77777777" w:rsidTr="003505AB">
        <w:trPr>
          <w:jc w:val="center"/>
        </w:trPr>
        <w:tc>
          <w:tcPr>
            <w:tcW w:w="2669" w:type="dxa"/>
            <w:shd w:val="clear" w:color="auto" w:fill="auto"/>
            <w:vAlign w:val="center"/>
          </w:tcPr>
          <w:p w14:paraId="133FD6EB" w14:textId="77777777" w:rsidR="00A951B2" w:rsidRPr="002721DF" w:rsidRDefault="00A951B2" w:rsidP="00BC5F19">
            <w:pPr>
              <w:pStyle w:val="Header"/>
              <w:jc w:val="both"/>
              <w:rPr>
                <w:rFonts w:ascii="Calibri" w:hAnsi="Calibri" w:cs="Calibri"/>
                <w:bCs/>
                <w:iCs/>
              </w:rPr>
            </w:pPr>
            <w:r w:rsidRPr="002721DF">
              <w:rPr>
                <w:rFonts w:ascii="Calibri" w:hAnsi="Calibri" w:cs="Calibri"/>
                <w:bCs/>
                <w:iCs/>
              </w:rPr>
              <w:t>Biraus užpildo sluoksnis</w:t>
            </w:r>
          </w:p>
        </w:tc>
        <w:tc>
          <w:tcPr>
            <w:tcW w:w="6892" w:type="dxa"/>
            <w:shd w:val="clear" w:color="auto" w:fill="auto"/>
            <w:vAlign w:val="center"/>
          </w:tcPr>
          <w:p w14:paraId="1324A03C" w14:textId="2647A99B" w:rsidR="00A951B2" w:rsidRPr="002721DF" w:rsidRDefault="00784A13" w:rsidP="00BC5F19">
            <w:pPr>
              <w:pStyle w:val="Header"/>
              <w:jc w:val="both"/>
              <w:rPr>
                <w:rFonts w:ascii="Calibri" w:hAnsi="Calibri" w:cs="Calibri"/>
                <w:bCs/>
                <w:iCs/>
              </w:rPr>
            </w:pPr>
            <w:r>
              <w:rPr>
                <w:rFonts w:ascii="Calibri" w:hAnsi="Calibri" w:cs="Calibri"/>
                <w:bCs/>
                <w:iCs/>
              </w:rPr>
              <w:t xml:space="preserve">smėlio </w:t>
            </w:r>
            <w:r w:rsidR="00733DC4">
              <w:rPr>
                <w:rFonts w:ascii="Calibri" w:hAnsi="Calibri" w:cs="Calibri"/>
                <w:bCs/>
                <w:iCs/>
              </w:rPr>
              <w:t xml:space="preserve">arba </w:t>
            </w:r>
            <w:proofErr w:type="spellStart"/>
            <w:r w:rsidR="00733DC4">
              <w:rPr>
                <w:rFonts w:ascii="Calibri" w:hAnsi="Calibri" w:cs="Calibri"/>
                <w:bCs/>
                <w:iCs/>
              </w:rPr>
              <w:t>keramzito</w:t>
            </w:r>
            <w:proofErr w:type="spellEnd"/>
            <w:r w:rsidR="00733DC4">
              <w:rPr>
                <w:rFonts w:ascii="Calibri" w:hAnsi="Calibri" w:cs="Calibri"/>
                <w:bCs/>
                <w:iCs/>
              </w:rPr>
              <w:t xml:space="preserve"> </w:t>
            </w:r>
            <w:r>
              <w:rPr>
                <w:rFonts w:ascii="Calibri" w:hAnsi="Calibri" w:cs="Calibri"/>
                <w:bCs/>
                <w:iCs/>
              </w:rPr>
              <w:t>sluoksnis, storis ≥ 40</w:t>
            </w:r>
            <w:r w:rsidR="00A951B2" w:rsidRPr="002721DF">
              <w:rPr>
                <w:rFonts w:ascii="Calibri" w:hAnsi="Calibri" w:cs="Calibri"/>
                <w:bCs/>
                <w:iCs/>
              </w:rPr>
              <w:t xml:space="preserve"> mm</w:t>
            </w:r>
          </w:p>
        </w:tc>
      </w:tr>
      <w:tr w:rsidR="00A951B2" w:rsidRPr="002721DF" w14:paraId="35666771" w14:textId="77777777" w:rsidTr="003505AB">
        <w:trPr>
          <w:jc w:val="center"/>
        </w:trPr>
        <w:tc>
          <w:tcPr>
            <w:tcW w:w="2669" w:type="dxa"/>
            <w:shd w:val="clear" w:color="auto" w:fill="auto"/>
            <w:vAlign w:val="center"/>
          </w:tcPr>
          <w:p w14:paraId="1B8AC2D4" w14:textId="68AE0F32" w:rsidR="00A951B2" w:rsidRPr="002721DF" w:rsidRDefault="00A951B2" w:rsidP="00C566C3">
            <w:pPr>
              <w:pStyle w:val="Header"/>
              <w:rPr>
                <w:rFonts w:ascii="Calibri" w:hAnsi="Calibri" w:cs="Calibri"/>
                <w:bCs/>
                <w:iCs/>
              </w:rPr>
            </w:pPr>
            <w:r w:rsidRPr="002721DF">
              <w:rPr>
                <w:rFonts w:ascii="Calibri" w:hAnsi="Calibri" w:cs="Calibri"/>
                <w:bCs/>
                <w:iCs/>
              </w:rPr>
              <w:t>Laikan</w:t>
            </w:r>
            <w:r w:rsidR="00F823A6">
              <w:rPr>
                <w:rFonts w:ascii="Calibri" w:hAnsi="Calibri" w:cs="Calibri"/>
                <w:bCs/>
                <w:iCs/>
              </w:rPr>
              <w:t>čios</w:t>
            </w:r>
            <w:r w:rsidRPr="002721DF">
              <w:rPr>
                <w:rFonts w:ascii="Calibri" w:hAnsi="Calibri" w:cs="Calibri"/>
                <w:bCs/>
                <w:iCs/>
              </w:rPr>
              <w:t xml:space="preserve"> konstrukcij</w:t>
            </w:r>
            <w:r w:rsidR="00F823A6">
              <w:rPr>
                <w:rFonts w:ascii="Calibri" w:hAnsi="Calibri" w:cs="Calibri"/>
                <w:bCs/>
                <w:iCs/>
              </w:rPr>
              <w:t>os variantai</w:t>
            </w:r>
          </w:p>
        </w:tc>
        <w:tc>
          <w:tcPr>
            <w:tcW w:w="6892" w:type="dxa"/>
            <w:shd w:val="clear" w:color="auto" w:fill="auto"/>
            <w:vAlign w:val="center"/>
          </w:tcPr>
          <w:p w14:paraId="6ED4FD3B" w14:textId="77777777" w:rsidR="00967C80" w:rsidRPr="00967C80" w:rsidRDefault="00CC4D9B" w:rsidP="00C566C3">
            <w:pPr>
              <w:pStyle w:val="Header"/>
              <w:numPr>
                <w:ilvl w:val="0"/>
                <w:numId w:val="13"/>
              </w:numPr>
              <w:ind w:left="130" w:hanging="130"/>
              <w:rPr>
                <w:rFonts w:ascii="Calibri" w:hAnsi="Calibri" w:cs="Calibri"/>
                <w:bCs/>
                <w:iCs/>
              </w:rPr>
            </w:pPr>
            <w:r w:rsidRPr="00E43E7D">
              <w:rPr>
                <w:rFonts w:ascii="Calibri" w:hAnsi="Calibri" w:cs="Calibri"/>
                <w:bCs/>
                <w:iCs/>
              </w:rPr>
              <w:t>monolitinė gelžbetoninė perdangos plokštė, storis ≥ 200mm</w:t>
            </w:r>
            <w:r>
              <w:rPr>
                <w:rFonts w:ascii="Calibri" w:hAnsi="Calibri" w:cs="Calibri"/>
                <w:bCs/>
                <w:iCs/>
              </w:rPr>
              <w:t xml:space="preserve"> (≥460kg/m</w:t>
            </w:r>
            <w:r>
              <w:rPr>
                <w:rFonts w:ascii="Calibri" w:hAnsi="Calibri" w:cs="Calibri"/>
                <w:bCs/>
                <w:iCs/>
                <w:vertAlign w:val="superscript"/>
              </w:rPr>
              <w:t>2</w:t>
            </w:r>
            <w:r>
              <w:rPr>
                <w:rFonts w:ascii="Calibri" w:hAnsi="Calibri" w:cs="Calibri"/>
                <w:bCs/>
                <w:iCs/>
              </w:rPr>
              <w:t>)</w:t>
            </w:r>
            <w:r w:rsidR="00BD4551">
              <w:rPr>
                <w:rFonts w:ascii="Calibri" w:hAnsi="Calibri" w:cs="Calibri"/>
                <w:bCs/>
                <w:iCs/>
              </w:rPr>
              <w:t xml:space="preserve"> </w:t>
            </w:r>
            <w:r w:rsidR="00BD4551" w:rsidRPr="00B8112F">
              <w:rPr>
                <w:rFonts w:ascii="Calibri" w:hAnsi="Calibri" w:cs="Calibri"/>
                <w:bCs/>
                <w:i/>
              </w:rPr>
              <w:t>arba</w:t>
            </w:r>
          </w:p>
          <w:p w14:paraId="1EF81138" w14:textId="77777777" w:rsidR="00967C80" w:rsidRPr="00967C80" w:rsidRDefault="0002275C" w:rsidP="00C566C3">
            <w:pPr>
              <w:pStyle w:val="Header"/>
              <w:numPr>
                <w:ilvl w:val="0"/>
                <w:numId w:val="13"/>
              </w:numPr>
              <w:ind w:left="130" w:hanging="130"/>
              <w:rPr>
                <w:rFonts w:ascii="Calibri" w:hAnsi="Calibri" w:cs="Calibri"/>
                <w:bCs/>
                <w:iCs/>
              </w:rPr>
            </w:pPr>
            <w:r w:rsidRPr="00967C80">
              <w:rPr>
                <w:rFonts w:ascii="Calibri" w:hAnsi="Calibri" w:cs="Calibri"/>
                <w:bCs/>
                <w:iCs/>
              </w:rPr>
              <w:t>surenkama kiaurymėta gelžbetoninė perdangos plokštė, storis 2</w:t>
            </w:r>
            <w:r w:rsidR="002C5B4C" w:rsidRPr="00967C80">
              <w:rPr>
                <w:rFonts w:ascii="Calibri" w:hAnsi="Calibri" w:cs="Calibri"/>
                <w:bCs/>
                <w:iCs/>
              </w:rPr>
              <w:t>0</w:t>
            </w:r>
            <w:r w:rsidRPr="00967C80">
              <w:rPr>
                <w:rFonts w:ascii="Calibri" w:hAnsi="Calibri" w:cs="Calibri"/>
                <w:bCs/>
                <w:iCs/>
              </w:rPr>
              <w:t>0mm (</w:t>
            </w:r>
            <w:r w:rsidR="006E0A69" w:rsidRPr="00967C80">
              <w:rPr>
                <w:rFonts w:ascii="Calibri" w:hAnsi="Calibri" w:cs="Calibri"/>
                <w:bCs/>
                <w:iCs/>
              </w:rPr>
              <w:t xml:space="preserve">plokščių ploto vieneto masė </w:t>
            </w:r>
            <w:r w:rsidRPr="00967C80">
              <w:rPr>
                <w:rFonts w:ascii="Calibri" w:hAnsi="Calibri" w:cs="Calibri"/>
                <w:bCs/>
                <w:iCs/>
              </w:rPr>
              <w:t>≥2</w:t>
            </w:r>
            <w:r w:rsidR="006E0A69" w:rsidRPr="00967C80">
              <w:rPr>
                <w:rFonts w:ascii="Calibri" w:hAnsi="Calibri" w:cs="Calibri"/>
                <w:bCs/>
                <w:iCs/>
              </w:rPr>
              <w:t>6</w:t>
            </w:r>
            <w:r w:rsidRPr="00967C80">
              <w:rPr>
                <w:rFonts w:ascii="Calibri" w:hAnsi="Calibri" w:cs="Calibri"/>
                <w:bCs/>
                <w:iCs/>
              </w:rPr>
              <w:t>0kg/m</w:t>
            </w:r>
            <w:r w:rsidRPr="00967C80">
              <w:rPr>
                <w:rFonts w:ascii="Calibri" w:hAnsi="Calibri" w:cs="Calibri"/>
                <w:bCs/>
                <w:iCs/>
                <w:vertAlign w:val="superscript"/>
              </w:rPr>
              <w:t>2</w:t>
            </w:r>
            <w:r w:rsidRPr="00967C80">
              <w:rPr>
                <w:rFonts w:ascii="Calibri" w:hAnsi="Calibri" w:cs="Calibri"/>
                <w:bCs/>
                <w:iCs/>
              </w:rPr>
              <w:t xml:space="preserve">) </w:t>
            </w:r>
            <w:r w:rsidRPr="00967C80">
              <w:rPr>
                <w:rFonts w:ascii="Calibri" w:hAnsi="Calibri" w:cs="Calibri"/>
                <w:bCs/>
                <w:i/>
                <w:iCs/>
              </w:rPr>
              <w:t>arba</w:t>
            </w:r>
          </w:p>
          <w:p w14:paraId="10C70BDC" w14:textId="77777777" w:rsidR="00967C80" w:rsidRPr="00967C80" w:rsidRDefault="00A951B2" w:rsidP="00C566C3">
            <w:pPr>
              <w:pStyle w:val="Header"/>
              <w:numPr>
                <w:ilvl w:val="0"/>
                <w:numId w:val="13"/>
              </w:numPr>
              <w:ind w:left="130" w:hanging="130"/>
              <w:rPr>
                <w:rFonts w:ascii="Calibri" w:hAnsi="Calibri" w:cs="Calibri"/>
                <w:bCs/>
                <w:iCs/>
              </w:rPr>
            </w:pPr>
            <w:r w:rsidRPr="00967C80">
              <w:rPr>
                <w:rFonts w:ascii="Calibri" w:hAnsi="Calibri" w:cs="Calibri"/>
                <w:bCs/>
                <w:iCs/>
              </w:rPr>
              <w:t>surenkama kiaurymėta gelžbetoninė perdangos plokštė, storis 220mm</w:t>
            </w:r>
            <w:r w:rsidR="00784A13" w:rsidRPr="00967C80">
              <w:rPr>
                <w:rFonts w:ascii="Calibri" w:hAnsi="Calibri" w:cs="Calibri"/>
                <w:bCs/>
                <w:iCs/>
              </w:rPr>
              <w:t xml:space="preserve"> (</w:t>
            </w:r>
            <w:r w:rsidR="00B8112F" w:rsidRPr="00967C80">
              <w:rPr>
                <w:rFonts w:ascii="Calibri" w:hAnsi="Calibri" w:cs="Calibri"/>
                <w:bCs/>
                <w:iCs/>
              </w:rPr>
              <w:t xml:space="preserve">plokščių ploto vieneto masė </w:t>
            </w:r>
            <w:r w:rsidR="00784A13" w:rsidRPr="00967C80">
              <w:rPr>
                <w:rFonts w:ascii="Calibri" w:hAnsi="Calibri" w:cs="Calibri"/>
                <w:bCs/>
                <w:iCs/>
              </w:rPr>
              <w:t>≥290</w:t>
            </w:r>
            <w:r w:rsidRPr="00967C80">
              <w:rPr>
                <w:rFonts w:ascii="Calibri" w:hAnsi="Calibri" w:cs="Calibri"/>
                <w:bCs/>
                <w:iCs/>
              </w:rPr>
              <w:t>kg/m</w:t>
            </w:r>
            <w:r w:rsidRPr="00967C80">
              <w:rPr>
                <w:rFonts w:ascii="Calibri" w:hAnsi="Calibri" w:cs="Calibri"/>
                <w:bCs/>
                <w:iCs/>
                <w:vertAlign w:val="superscript"/>
              </w:rPr>
              <w:t>2</w:t>
            </w:r>
            <w:r w:rsidRPr="00967C80">
              <w:rPr>
                <w:rFonts w:ascii="Calibri" w:hAnsi="Calibri" w:cs="Calibri"/>
                <w:bCs/>
                <w:iCs/>
              </w:rPr>
              <w:t xml:space="preserve">) </w:t>
            </w:r>
            <w:r w:rsidRPr="00967C80">
              <w:rPr>
                <w:rFonts w:ascii="Calibri" w:hAnsi="Calibri" w:cs="Calibri"/>
                <w:bCs/>
                <w:i/>
                <w:iCs/>
              </w:rPr>
              <w:t>arba</w:t>
            </w:r>
          </w:p>
          <w:p w14:paraId="53B9910C" w14:textId="77777777" w:rsidR="00967C80" w:rsidRPr="00967C80" w:rsidRDefault="001962E6" w:rsidP="00C566C3">
            <w:pPr>
              <w:pStyle w:val="Header"/>
              <w:numPr>
                <w:ilvl w:val="0"/>
                <w:numId w:val="13"/>
              </w:numPr>
              <w:ind w:left="130" w:hanging="130"/>
              <w:rPr>
                <w:rFonts w:ascii="Calibri" w:hAnsi="Calibri" w:cs="Calibri"/>
                <w:bCs/>
                <w:iCs/>
              </w:rPr>
            </w:pPr>
            <w:r w:rsidRPr="00967C80">
              <w:rPr>
                <w:rFonts w:ascii="Calibri" w:hAnsi="Calibri" w:cs="Calibri"/>
                <w:bCs/>
                <w:iCs/>
              </w:rPr>
              <w:t>gelžbetoninių sijų ir betoninių blokų perdangų sistemos</w:t>
            </w:r>
            <w:r w:rsidR="00AA6EEF" w:rsidRPr="00967C80">
              <w:rPr>
                <w:rFonts w:ascii="Calibri" w:hAnsi="Calibri" w:cs="Calibri"/>
                <w:bCs/>
                <w:iCs/>
              </w:rPr>
              <w:t xml:space="preserve">, </w:t>
            </w:r>
            <w:r w:rsidR="00BD5003" w:rsidRPr="00967C80">
              <w:rPr>
                <w:rFonts w:ascii="Calibri" w:hAnsi="Calibri" w:cs="Calibri"/>
                <w:bCs/>
                <w:iCs/>
              </w:rPr>
              <w:t>perdangos konstrukcijos aukštis ≥ 240 mm</w:t>
            </w:r>
            <w:r w:rsidR="000273F6" w:rsidRPr="00967C80">
              <w:rPr>
                <w:rFonts w:ascii="Calibri" w:hAnsi="Calibri" w:cs="Calibri"/>
                <w:bCs/>
                <w:iCs/>
              </w:rPr>
              <w:t xml:space="preserve"> (ploto vieneto masė ≥ 270 kg/m²</w:t>
            </w:r>
            <w:r w:rsidR="00AA6EEF" w:rsidRPr="00967C80">
              <w:rPr>
                <w:rFonts w:ascii="Calibri" w:hAnsi="Calibri" w:cs="Calibri"/>
                <w:bCs/>
                <w:iCs/>
              </w:rPr>
              <w:t xml:space="preserve"> </w:t>
            </w:r>
            <w:r w:rsidR="000273F6" w:rsidRPr="00967C80">
              <w:rPr>
                <w:rFonts w:ascii="Calibri" w:hAnsi="Calibri" w:cs="Calibri"/>
                <w:bCs/>
                <w:iCs/>
              </w:rPr>
              <w:t>)</w:t>
            </w:r>
            <w:r w:rsidR="00427613" w:rsidRPr="00967C80">
              <w:rPr>
                <w:rFonts w:ascii="Calibri" w:hAnsi="Calibri" w:cs="Calibri"/>
                <w:bCs/>
                <w:i/>
              </w:rPr>
              <w:t xml:space="preserve"> arba</w:t>
            </w:r>
          </w:p>
          <w:p w14:paraId="6696772A" w14:textId="4C938DF3" w:rsidR="00AA6EEF" w:rsidRPr="00967C80" w:rsidRDefault="007976E2" w:rsidP="00C566C3">
            <w:pPr>
              <w:pStyle w:val="Header"/>
              <w:numPr>
                <w:ilvl w:val="0"/>
                <w:numId w:val="13"/>
              </w:numPr>
              <w:ind w:left="130" w:hanging="130"/>
              <w:rPr>
                <w:rFonts w:ascii="Calibri" w:hAnsi="Calibri" w:cs="Calibri"/>
                <w:bCs/>
                <w:iCs/>
              </w:rPr>
            </w:pPr>
            <w:r w:rsidRPr="00967C80">
              <w:rPr>
                <w:rFonts w:ascii="Calibri" w:hAnsi="Calibri" w:cs="Calibri"/>
                <w:bCs/>
                <w:iCs/>
              </w:rPr>
              <w:t>gelžbetoninių sijų ir betoninių blokų perdangų sistemos, perdangos konstrukcijos aukštis ≥ 340 mm</w:t>
            </w:r>
            <w:r w:rsidR="00BD0C86" w:rsidRPr="00967C80">
              <w:rPr>
                <w:rFonts w:ascii="Calibri" w:hAnsi="Calibri" w:cs="Calibri"/>
                <w:bCs/>
                <w:iCs/>
              </w:rPr>
              <w:t xml:space="preserve"> (vieneto masė ≥ 400 kg/m²</w:t>
            </w:r>
            <w:r w:rsidR="00F823A6" w:rsidRPr="00967C80">
              <w:rPr>
                <w:rFonts w:ascii="Calibri" w:hAnsi="Calibri" w:cs="Calibri"/>
                <w:bCs/>
                <w:iCs/>
              </w:rPr>
              <w:t>)</w:t>
            </w:r>
          </w:p>
        </w:tc>
      </w:tr>
      <w:tr w:rsidR="00A951B2" w:rsidRPr="002721DF" w14:paraId="3EC3FECA" w14:textId="77777777" w:rsidTr="003505AB">
        <w:trPr>
          <w:jc w:val="center"/>
        </w:trPr>
        <w:tc>
          <w:tcPr>
            <w:tcW w:w="9561" w:type="dxa"/>
            <w:gridSpan w:val="2"/>
            <w:shd w:val="clear" w:color="auto" w:fill="auto"/>
            <w:vAlign w:val="center"/>
          </w:tcPr>
          <w:p w14:paraId="349B2415" w14:textId="77777777" w:rsidR="00A951B2" w:rsidRPr="002721DF" w:rsidRDefault="00A951B2" w:rsidP="00BC5F19">
            <w:pPr>
              <w:pStyle w:val="Header"/>
              <w:jc w:val="both"/>
              <w:rPr>
                <w:rFonts w:ascii="Calibri" w:hAnsi="Calibri" w:cs="Calibri"/>
                <w:bCs/>
                <w:iCs/>
                <w:sz w:val="18"/>
                <w:szCs w:val="18"/>
              </w:rPr>
            </w:pPr>
            <w:r w:rsidRPr="002721DF">
              <w:rPr>
                <w:rFonts w:ascii="Calibri" w:hAnsi="Calibri" w:cs="Calibri"/>
                <w:bCs/>
                <w:iCs/>
                <w:sz w:val="18"/>
                <w:szCs w:val="18"/>
                <w:vertAlign w:val="superscript"/>
              </w:rPr>
              <w:t>1)</w:t>
            </w:r>
            <w:r w:rsidRPr="002721DF">
              <w:rPr>
                <w:rFonts w:ascii="Calibri" w:hAnsi="Calibri" w:cs="Calibri"/>
                <w:bCs/>
                <w:iCs/>
                <w:sz w:val="18"/>
                <w:szCs w:val="18"/>
              </w:rPr>
              <w:t xml:space="preserve"> didžiausias leistinas storis nurodytas įskaitant ir visus galimus papildomus sluoksnius iki galutinio grindų apdailos skuoksnio</w:t>
            </w:r>
          </w:p>
        </w:tc>
      </w:tr>
    </w:tbl>
    <w:p w14:paraId="001257F7" w14:textId="068DC462" w:rsidR="00A951B2" w:rsidRPr="00D64FA3" w:rsidRDefault="00181D14" w:rsidP="00D64FA3">
      <w:pPr>
        <w:numPr>
          <w:ilvl w:val="1"/>
          <w:numId w:val="10"/>
        </w:numPr>
        <w:spacing w:after="0" w:line="240" w:lineRule="auto"/>
        <w:jc w:val="both"/>
        <w:rPr>
          <w:rFonts w:ascii="Calibri" w:hAnsi="Calibri" w:cs="Calibri"/>
        </w:rPr>
      </w:pPr>
      <w:r>
        <w:rPr>
          <w:rFonts w:ascii="Calibri" w:hAnsi="Calibri" w:cs="Calibri"/>
        </w:rPr>
        <w:t>P</w:t>
      </w:r>
      <w:r w:rsidRPr="002D44FA">
        <w:rPr>
          <w:rFonts w:ascii="Calibri" w:hAnsi="Calibri" w:cs="Calibri"/>
        </w:rPr>
        <w:t>erdangų konstrukcijas</w:t>
      </w:r>
      <w:r>
        <w:rPr>
          <w:rFonts w:ascii="Calibri" w:hAnsi="Calibri" w:cs="Calibri"/>
        </w:rPr>
        <w:t xml:space="preserve"> montuojant iš 220 mm ar aukštesnių surenkamųjų gelžbetoninių kiaurymėtųjų perdangos plokščių</w:t>
      </w:r>
      <w:r w:rsidR="00B8331B">
        <w:rPr>
          <w:rFonts w:ascii="Calibri" w:hAnsi="Calibri" w:cs="Calibri"/>
        </w:rPr>
        <w:t xml:space="preserve">, </w:t>
      </w:r>
      <w:r w:rsidR="00B8331B" w:rsidRPr="00B8331B">
        <w:rPr>
          <w:rFonts w:ascii="Calibri" w:hAnsi="Calibri" w:cs="Calibri"/>
        </w:rPr>
        <w:t>240 mm ar aukštesnių perdangų plokščių iš gelžbetoninių sijų ir</w:t>
      </w:r>
      <w:r w:rsidR="00D64FA3">
        <w:rPr>
          <w:rFonts w:ascii="Calibri" w:hAnsi="Calibri" w:cs="Calibri"/>
        </w:rPr>
        <w:t xml:space="preserve"> </w:t>
      </w:r>
      <w:r w:rsidR="00B8331B" w:rsidRPr="00D64FA3">
        <w:rPr>
          <w:rFonts w:ascii="Calibri" w:hAnsi="Calibri" w:cs="Calibri"/>
        </w:rPr>
        <w:t>betoninių blokų sistemos elementų bei</w:t>
      </w:r>
      <w:r w:rsidRPr="00D64FA3">
        <w:rPr>
          <w:rFonts w:ascii="Calibri" w:hAnsi="Calibri" w:cs="Calibri"/>
        </w:rPr>
        <w:t xml:space="preserve"> 200  mm ir aukštesnių monolitinių gelžbetoninių perdangos plokščių, gali būti pasiekti </w:t>
      </w:r>
      <w:r w:rsidRPr="00D64FA3">
        <w:rPr>
          <w:rFonts w:ascii="Calibri" w:hAnsi="Calibri" w:cs="Calibri"/>
          <w:b/>
        </w:rPr>
        <w:t>B garso klasės</w:t>
      </w:r>
      <w:r w:rsidRPr="00D64FA3">
        <w:rPr>
          <w:rFonts w:ascii="Calibri" w:hAnsi="Calibri" w:cs="Calibri"/>
        </w:rPr>
        <w:t xml:space="preserve"> rodikliai. Tokiu atveju garsą izoliuojančiose konstrukcijose rekomenduojama naudoti 30 mm ir storesnę mineralinę vatą Isover FLO arba Isover OL-TOP.                         </w:t>
      </w:r>
    </w:p>
    <w:p w14:paraId="5AC54445" w14:textId="77777777" w:rsidR="00A951B2" w:rsidRPr="00764B3A" w:rsidRDefault="00A951B2" w:rsidP="00BC5F19">
      <w:pPr>
        <w:pStyle w:val="1STNormal"/>
        <w:numPr>
          <w:ilvl w:val="0"/>
          <w:numId w:val="10"/>
        </w:numPr>
        <w:pBdr>
          <w:top w:val="none" w:sz="0" w:space="0" w:color="auto"/>
          <w:left w:val="none" w:sz="0" w:space="0" w:color="auto"/>
          <w:bottom w:val="none" w:sz="0" w:space="0" w:color="auto"/>
          <w:right w:val="none" w:sz="0" w:space="0" w:color="auto"/>
        </w:pBdr>
        <w:spacing w:after="0"/>
        <w:jc w:val="both"/>
        <w:rPr>
          <w:rFonts w:ascii="Calibri" w:hAnsi="Calibri" w:cs="Calibri"/>
          <w:b/>
        </w:rPr>
      </w:pPr>
      <w:r w:rsidRPr="00764B3A">
        <w:rPr>
          <w:rFonts w:ascii="Calibri" w:hAnsi="Calibri" w:cs="Calibri"/>
          <w:b/>
        </w:rPr>
        <w:t>GARSĄ IZOLIUOJANČIŲ PERDANGŲ AKUSTINĖS CHARAKTERISTIKOS</w:t>
      </w:r>
    </w:p>
    <w:p w14:paraId="5CD8E4FB" w14:textId="77777777" w:rsidR="00A951B2" w:rsidRDefault="00A951B2" w:rsidP="00BC5F19">
      <w:pPr>
        <w:numPr>
          <w:ilvl w:val="1"/>
          <w:numId w:val="10"/>
        </w:numPr>
        <w:spacing w:after="0" w:line="240" w:lineRule="auto"/>
        <w:jc w:val="both"/>
        <w:rPr>
          <w:rFonts w:ascii="Calibri" w:hAnsi="Calibri" w:cs="Calibri"/>
        </w:rPr>
      </w:pPr>
      <w:r w:rsidRPr="00764B3A">
        <w:rPr>
          <w:rFonts w:ascii="Calibri" w:hAnsi="Calibri" w:cs="Calibri"/>
        </w:rPr>
        <w:t>Garsą izoliuojanči</w:t>
      </w:r>
      <w:r>
        <w:rPr>
          <w:rFonts w:ascii="Calibri" w:hAnsi="Calibri" w:cs="Calibri"/>
        </w:rPr>
        <w:t>ų</w:t>
      </w:r>
      <w:r w:rsidRPr="00764B3A">
        <w:rPr>
          <w:rFonts w:ascii="Calibri" w:hAnsi="Calibri" w:cs="Calibri"/>
        </w:rPr>
        <w:t xml:space="preserve"> </w:t>
      </w:r>
      <w:r>
        <w:rPr>
          <w:rFonts w:ascii="Calibri" w:hAnsi="Calibri" w:cs="Calibri"/>
        </w:rPr>
        <w:t>gelžbetoninių perdangų konstrukcijų su ISOVER FLO mineralinės vatos plokštėmis akustinės charakteristikos pateikiamos lentelėje L2.</w:t>
      </w:r>
    </w:p>
    <w:p w14:paraId="599657D9" w14:textId="370C8BC8" w:rsidR="00EB3FFF" w:rsidRDefault="00D442B5" w:rsidP="00BC5F19">
      <w:pPr>
        <w:numPr>
          <w:ilvl w:val="1"/>
          <w:numId w:val="10"/>
        </w:numPr>
        <w:spacing w:after="0" w:line="240" w:lineRule="auto"/>
        <w:jc w:val="both"/>
        <w:rPr>
          <w:rFonts w:ascii="Calibri" w:hAnsi="Calibri" w:cs="Calibri"/>
        </w:rPr>
      </w:pPr>
      <w:r>
        <w:rPr>
          <w:rFonts w:ascii="Calibri" w:hAnsi="Calibri" w:cs="Calibri"/>
        </w:rPr>
        <w:t>A</w:t>
      </w:r>
      <w:r w:rsidR="00A951B2" w:rsidRPr="002D44FA">
        <w:rPr>
          <w:rFonts w:ascii="Calibri" w:hAnsi="Calibri" w:cs="Calibri"/>
        </w:rPr>
        <w:t>kustinės charakteristikos</w:t>
      </w:r>
      <w:r>
        <w:rPr>
          <w:rFonts w:ascii="Calibri" w:hAnsi="Calibri" w:cs="Calibri"/>
        </w:rPr>
        <w:t xml:space="preserve"> </w:t>
      </w:r>
      <w:r w:rsidR="00A951B2" w:rsidRPr="002D44FA">
        <w:rPr>
          <w:rFonts w:ascii="Calibri" w:hAnsi="Calibri" w:cs="Calibri"/>
        </w:rPr>
        <w:t>pagrįstos nacionaliniu tech</w:t>
      </w:r>
      <w:r w:rsidR="00B2636E">
        <w:rPr>
          <w:rFonts w:ascii="Calibri" w:hAnsi="Calibri" w:cs="Calibri"/>
        </w:rPr>
        <w:t>niniu įvertinimu NTĮ-01-020:20</w:t>
      </w:r>
      <w:r w:rsidR="007C2363">
        <w:rPr>
          <w:rFonts w:ascii="Calibri" w:hAnsi="Calibri" w:cs="Calibri"/>
        </w:rPr>
        <w:t>24</w:t>
      </w:r>
      <w:r w:rsidRPr="00D442B5">
        <w:rPr>
          <w:rFonts w:ascii="Calibri" w:hAnsi="Calibri" w:cs="Calibri"/>
          <w:lang w:val="en-US"/>
        </w:rPr>
        <w:t xml:space="preserve"> </w:t>
      </w:r>
      <w:r w:rsidRPr="002D44FA">
        <w:rPr>
          <w:rFonts w:ascii="Calibri" w:hAnsi="Calibri" w:cs="Calibri"/>
          <w:lang w:val="en-US"/>
        </w:rPr>
        <w:t xml:space="preserve">4 </w:t>
      </w:r>
      <w:r w:rsidRPr="00B2636E">
        <w:rPr>
          <w:rFonts w:ascii="Calibri" w:hAnsi="Calibri" w:cs="Calibri"/>
        </w:rPr>
        <w:t>skyriuje apra</w:t>
      </w:r>
      <w:r w:rsidRPr="002D44FA">
        <w:rPr>
          <w:rFonts w:ascii="Calibri" w:hAnsi="Calibri" w:cs="Calibri"/>
        </w:rPr>
        <w:t>šyt</w:t>
      </w:r>
      <w:r w:rsidR="00DF6734">
        <w:rPr>
          <w:rFonts w:ascii="Calibri" w:hAnsi="Calibri" w:cs="Calibri"/>
        </w:rPr>
        <w:t>oms</w:t>
      </w:r>
      <w:r w:rsidRPr="002D44FA">
        <w:rPr>
          <w:rFonts w:ascii="Calibri" w:hAnsi="Calibri" w:cs="Calibri"/>
        </w:rPr>
        <w:t xml:space="preserve"> perdangų konstrukcij</w:t>
      </w:r>
      <w:r w:rsidR="00DF6734">
        <w:rPr>
          <w:rFonts w:ascii="Calibri" w:hAnsi="Calibri" w:cs="Calibri"/>
        </w:rPr>
        <w:t>oms.</w:t>
      </w:r>
    </w:p>
    <w:p w14:paraId="07D55777" w14:textId="29BDA09A" w:rsidR="00A951B2" w:rsidRPr="00C217F2" w:rsidRDefault="00985DFB" w:rsidP="00EB3FFF">
      <w:pPr>
        <w:numPr>
          <w:ilvl w:val="1"/>
          <w:numId w:val="10"/>
        </w:numPr>
        <w:spacing w:after="0" w:line="240" w:lineRule="auto"/>
        <w:jc w:val="both"/>
        <w:rPr>
          <w:rFonts w:ascii="Calibri" w:hAnsi="Calibri" w:cs="Calibri"/>
        </w:rPr>
      </w:pPr>
      <w:r>
        <w:rPr>
          <w:rFonts w:ascii="Calibri" w:hAnsi="Calibri" w:cs="Calibri"/>
        </w:rPr>
        <w:t>L2 lentelėje pateiktų v</w:t>
      </w:r>
      <w:r w:rsidRPr="00985DFB">
        <w:rPr>
          <w:rFonts w:ascii="Calibri" w:hAnsi="Calibri" w:cs="Calibri"/>
        </w:rPr>
        <w:t xml:space="preserve">erčių </w:t>
      </w:r>
      <w:proofErr w:type="spellStart"/>
      <w:r w:rsidRPr="00985DFB">
        <w:rPr>
          <w:rFonts w:ascii="Calibri" w:hAnsi="Calibri" w:cs="Calibri"/>
        </w:rPr>
        <w:t>R’</w:t>
      </w:r>
      <w:r w:rsidRPr="00733DC4">
        <w:rPr>
          <w:rFonts w:ascii="Calibri" w:hAnsi="Calibri" w:cs="Calibri"/>
          <w:vertAlign w:val="subscript"/>
        </w:rPr>
        <w:t>w</w:t>
      </w:r>
      <w:proofErr w:type="spellEnd"/>
      <w:r w:rsidRPr="00985DFB">
        <w:rPr>
          <w:rFonts w:ascii="Calibri" w:hAnsi="Calibri" w:cs="Calibri"/>
        </w:rPr>
        <w:t xml:space="preserve">  + C</w:t>
      </w:r>
      <w:r w:rsidRPr="00733DC4">
        <w:rPr>
          <w:rFonts w:ascii="Calibri" w:hAnsi="Calibri" w:cs="Calibri"/>
          <w:vertAlign w:val="subscript"/>
        </w:rPr>
        <w:t xml:space="preserve">100-3150  </w:t>
      </w:r>
      <w:r w:rsidRPr="00985DFB">
        <w:rPr>
          <w:rFonts w:ascii="Calibri" w:hAnsi="Calibri" w:cs="Calibri"/>
        </w:rPr>
        <w:t xml:space="preserve">ir </w:t>
      </w:r>
      <w:proofErr w:type="spellStart"/>
      <w:r w:rsidRPr="00985DFB">
        <w:rPr>
          <w:rFonts w:ascii="Calibri" w:hAnsi="Calibri" w:cs="Calibri"/>
        </w:rPr>
        <w:t>L’</w:t>
      </w:r>
      <w:r w:rsidRPr="00733DC4">
        <w:rPr>
          <w:rFonts w:ascii="Calibri" w:hAnsi="Calibri" w:cs="Calibri"/>
          <w:vertAlign w:val="subscript"/>
        </w:rPr>
        <w:t>n,w</w:t>
      </w:r>
      <w:proofErr w:type="spellEnd"/>
      <w:r w:rsidRPr="00733DC4">
        <w:rPr>
          <w:rFonts w:ascii="Calibri" w:hAnsi="Calibri" w:cs="Calibri"/>
          <w:vertAlign w:val="subscript"/>
        </w:rPr>
        <w:t xml:space="preserve">  </w:t>
      </w:r>
      <w:r w:rsidRPr="00985DFB">
        <w:rPr>
          <w:rFonts w:ascii="Calibri" w:hAnsi="Calibri" w:cs="Calibri"/>
        </w:rPr>
        <w:t>+ Ci,</w:t>
      </w:r>
      <w:r w:rsidRPr="00733DC4">
        <w:rPr>
          <w:rFonts w:ascii="Calibri" w:hAnsi="Calibri" w:cs="Calibri"/>
          <w:vertAlign w:val="subscript"/>
        </w:rPr>
        <w:t>100-2500</w:t>
      </w:r>
      <w:r w:rsidRPr="00985DFB">
        <w:rPr>
          <w:rFonts w:ascii="Calibri" w:hAnsi="Calibri" w:cs="Calibri"/>
        </w:rPr>
        <w:t xml:space="preserve">   sklaida yra susiję su </w:t>
      </w:r>
      <w:proofErr w:type="spellStart"/>
      <w:r w:rsidRPr="00985DFB">
        <w:rPr>
          <w:rFonts w:ascii="Calibri" w:hAnsi="Calibri" w:cs="Calibri"/>
        </w:rPr>
        <w:t>su</w:t>
      </w:r>
      <w:proofErr w:type="spellEnd"/>
      <w:r w:rsidRPr="00985DFB">
        <w:rPr>
          <w:rFonts w:ascii="Calibri" w:hAnsi="Calibri" w:cs="Calibri"/>
        </w:rPr>
        <w:t xml:space="preserve"> darbų atlikimo ir konstrukcijų išpildymo tikslumu, </w:t>
      </w:r>
      <w:proofErr w:type="spellStart"/>
      <w:r w:rsidRPr="00985DFB">
        <w:rPr>
          <w:rFonts w:ascii="Calibri" w:hAnsi="Calibri" w:cs="Calibri"/>
        </w:rPr>
        <w:t>apylankinio</w:t>
      </w:r>
      <w:proofErr w:type="spellEnd"/>
      <w:r w:rsidRPr="00985DFB">
        <w:rPr>
          <w:rFonts w:ascii="Calibri" w:hAnsi="Calibri" w:cs="Calibri"/>
        </w:rPr>
        <w:t xml:space="preserve"> garso sklidimo įtaka. Priklausomai nuo konkrečių konstrukcijų sklaida gali turėti ir platesnes ribas.</w:t>
      </w:r>
      <w:r w:rsidR="00A951B2" w:rsidRPr="00C217F2">
        <w:rPr>
          <w:rFonts w:ascii="Calibri" w:hAnsi="Calibri" w:cs="Calibri"/>
        </w:rPr>
        <w:t xml:space="preserve">    </w:t>
      </w:r>
    </w:p>
    <w:p w14:paraId="1E892163" w14:textId="77777777" w:rsidR="00A951B2" w:rsidRPr="00181D14" w:rsidRDefault="00A951B2" w:rsidP="00BC5F19">
      <w:pPr>
        <w:spacing w:after="0"/>
        <w:ind w:left="720"/>
        <w:jc w:val="both"/>
        <w:rPr>
          <w:rFonts w:ascii="Calibri" w:hAnsi="Calibri" w:cs="Calibri"/>
          <w:i/>
          <w:sz w:val="20"/>
          <w:szCs w:val="20"/>
        </w:rPr>
      </w:pPr>
      <w:r>
        <w:rPr>
          <w:rFonts w:ascii="Calibri" w:hAnsi="Calibri" w:cs="Calibri"/>
        </w:rPr>
        <w:lastRenderedPageBreak/>
        <w:t xml:space="preserve">                                                                                                                                   </w:t>
      </w:r>
      <w:r w:rsidRPr="00181D14">
        <w:rPr>
          <w:rFonts w:ascii="Calibri" w:hAnsi="Calibri" w:cs="Calibri"/>
          <w:i/>
          <w:sz w:val="20"/>
          <w:szCs w:val="20"/>
        </w:rPr>
        <w:t xml:space="preserve">Lentelė L2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3"/>
        <w:gridCol w:w="943"/>
        <w:gridCol w:w="858"/>
        <w:gridCol w:w="1101"/>
        <w:gridCol w:w="1101"/>
        <w:gridCol w:w="1101"/>
        <w:gridCol w:w="1101"/>
        <w:gridCol w:w="1101"/>
        <w:gridCol w:w="1102"/>
      </w:tblGrid>
      <w:tr w:rsidR="006B3F44" w:rsidRPr="00EF2710" w14:paraId="3A181D99" w14:textId="77777777" w:rsidTr="00CA33D8">
        <w:trPr>
          <w:jc w:val="center"/>
        </w:trPr>
        <w:tc>
          <w:tcPr>
            <w:tcW w:w="943" w:type="dxa"/>
            <w:vMerge w:val="restart"/>
            <w:tcBorders>
              <w:top w:val="single" w:sz="4" w:space="0" w:color="auto"/>
              <w:left w:val="single" w:sz="4" w:space="0" w:color="auto"/>
              <w:right w:val="single" w:sz="4" w:space="0" w:color="auto"/>
            </w:tcBorders>
            <w:shd w:val="clear" w:color="auto" w:fill="auto"/>
            <w:vAlign w:val="center"/>
          </w:tcPr>
          <w:p w14:paraId="0DD28C70" w14:textId="77777777" w:rsidR="006B3F44" w:rsidRPr="00EF2710" w:rsidRDefault="006B3F44" w:rsidP="00BC5F19">
            <w:pPr>
              <w:spacing w:after="0"/>
              <w:jc w:val="both"/>
              <w:rPr>
                <w:rFonts w:ascii="Calibri" w:hAnsi="Calibri" w:cs="Arial"/>
                <w:sz w:val="20"/>
              </w:rPr>
            </w:pPr>
            <w:r w:rsidRPr="00EF2710">
              <w:rPr>
                <w:rFonts w:ascii="Calibri" w:hAnsi="Calibri" w:cs="Arial"/>
                <w:sz w:val="20"/>
                <w:lang w:val="sv-SE"/>
              </w:rPr>
              <w:t>Sistema</w:t>
            </w:r>
          </w:p>
        </w:tc>
        <w:tc>
          <w:tcPr>
            <w:tcW w:w="943" w:type="dxa"/>
            <w:vMerge w:val="restart"/>
            <w:tcBorders>
              <w:top w:val="single" w:sz="4" w:space="0" w:color="auto"/>
              <w:left w:val="single" w:sz="4" w:space="0" w:color="auto"/>
              <w:right w:val="single" w:sz="4" w:space="0" w:color="auto"/>
            </w:tcBorders>
            <w:shd w:val="clear" w:color="auto" w:fill="auto"/>
            <w:vAlign w:val="center"/>
          </w:tcPr>
          <w:p w14:paraId="61626460" w14:textId="0E65B7DF" w:rsidR="006B3F44" w:rsidRPr="00EF2710" w:rsidRDefault="00D56A52" w:rsidP="00BC5F19">
            <w:pPr>
              <w:spacing w:after="0"/>
              <w:jc w:val="both"/>
              <w:rPr>
                <w:rFonts w:ascii="Calibri" w:hAnsi="Calibri" w:cs="Arial"/>
                <w:sz w:val="20"/>
              </w:rPr>
            </w:pPr>
            <w:r>
              <w:rPr>
                <w:rFonts w:ascii="Calibri" w:hAnsi="Calibri" w:cs="Arial"/>
                <w:sz w:val="20"/>
              </w:rPr>
              <w:t xml:space="preserve">ISOVER FLO </w:t>
            </w:r>
            <w:r w:rsidR="006B3F44" w:rsidRPr="00EF2710">
              <w:rPr>
                <w:rFonts w:ascii="Calibri" w:hAnsi="Calibri" w:cs="Arial"/>
                <w:sz w:val="20"/>
              </w:rPr>
              <w:t>storis, mm</w:t>
            </w:r>
          </w:p>
        </w:tc>
        <w:tc>
          <w:tcPr>
            <w:tcW w:w="858" w:type="dxa"/>
            <w:vMerge w:val="restart"/>
            <w:tcBorders>
              <w:top w:val="single" w:sz="4" w:space="0" w:color="auto"/>
              <w:left w:val="single" w:sz="4" w:space="0" w:color="auto"/>
              <w:right w:val="single" w:sz="4" w:space="0" w:color="auto"/>
            </w:tcBorders>
            <w:shd w:val="clear" w:color="auto" w:fill="auto"/>
            <w:vAlign w:val="center"/>
          </w:tcPr>
          <w:p w14:paraId="0A3896D2" w14:textId="3CF0E886" w:rsidR="00706DDF" w:rsidRPr="00706DDF" w:rsidRDefault="00706DDF" w:rsidP="00706DDF">
            <w:pPr>
              <w:spacing w:after="0"/>
              <w:jc w:val="both"/>
              <w:rPr>
                <w:rFonts w:ascii="Calibri" w:hAnsi="Calibri" w:cs="Arial"/>
                <w:sz w:val="20"/>
                <w:lang w:val="fr-FR"/>
              </w:rPr>
            </w:pPr>
            <w:proofErr w:type="spellStart"/>
            <w:r w:rsidRPr="00706DDF">
              <w:rPr>
                <w:rFonts w:ascii="Calibri" w:hAnsi="Calibri" w:cs="Arial"/>
                <w:sz w:val="20"/>
                <w:lang w:val="fr-FR"/>
              </w:rPr>
              <w:t>Dinam</w:t>
            </w:r>
            <w:proofErr w:type="spellEnd"/>
            <w:r w:rsidR="0056157B">
              <w:rPr>
                <w:rFonts w:ascii="Calibri" w:hAnsi="Calibri" w:cs="Arial"/>
                <w:sz w:val="20"/>
                <w:lang w:val="fr-FR"/>
              </w:rPr>
              <w:t>.</w:t>
            </w:r>
          </w:p>
          <w:p w14:paraId="7A46B6D9" w14:textId="1456A3E7" w:rsidR="0056157B" w:rsidRDefault="00C67F49" w:rsidP="00706DDF">
            <w:pPr>
              <w:spacing w:after="0"/>
              <w:jc w:val="both"/>
              <w:rPr>
                <w:rFonts w:ascii="Calibri" w:hAnsi="Calibri" w:cs="Arial"/>
                <w:sz w:val="20"/>
                <w:lang w:val="fr-FR"/>
              </w:rPr>
            </w:pPr>
            <w:proofErr w:type="spellStart"/>
            <w:proofErr w:type="gramStart"/>
            <w:r>
              <w:rPr>
                <w:rFonts w:ascii="Calibri" w:hAnsi="Calibri" w:cs="Arial"/>
                <w:sz w:val="20"/>
                <w:lang w:val="fr-FR"/>
              </w:rPr>
              <w:t>s</w:t>
            </w:r>
            <w:r w:rsidR="00706DDF" w:rsidRPr="00706DDF">
              <w:rPr>
                <w:rFonts w:ascii="Calibri" w:hAnsi="Calibri" w:cs="Arial"/>
                <w:sz w:val="20"/>
                <w:lang w:val="fr-FR"/>
              </w:rPr>
              <w:t>tandu</w:t>
            </w:r>
            <w:proofErr w:type="spellEnd"/>
            <w:proofErr w:type="gramEnd"/>
            <w:r>
              <w:rPr>
                <w:rFonts w:ascii="Calibri" w:hAnsi="Calibri" w:cs="Arial"/>
                <w:sz w:val="20"/>
                <w:lang w:val="fr-FR"/>
              </w:rPr>
              <w:t>-</w:t>
            </w:r>
            <w:r w:rsidR="00706DDF" w:rsidRPr="00706DDF">
              <w:rPr>
                <w:rFonts w:ascii="Calibri" w:hAnsi="Calibri" w:cs="Arial"/>
                <w:sz w:val="20"/>
                <w:lang w:val="fr-FR"/>
              </w:rPr>
              <w:t>mas</w:t>
            </w:r>
            <w:r w:rsidR="0056157B">
              <w:rPr>
                <w:rFonts w:ascii="Calibri" w:hAnsi="Calibri" w:cs="Arial"/>
                <w:sz w:val="20"/>
                <w:lang w:val="fr-FR"/>
              </w:rPr>
              <w:t xml:space="preserve"> </w:t>
            </w:r>
          </w:p>
          <w:p w14:paraId="16B19FDA" w14:textId="2D2EDFA6" w:rsidR="006B3F44" w:rsidRPr="00EF2710" w:rsidRDefault="006B3F44" w:rsidP="00706DDF">
            <w:pPr>
              <w:spacing w:after="0"/>
              <w:jc w:val="both"/>
              <w:rPr>
                <w:rFonts w:ascii="Calibri" w:hAnsi="Calibri" w:cs="Arial"/>
                <w:sz w:val="20"/>
                <w:lang w:val="fr-FR"/>
              </w:rPr>
            </w:pPr>
            <w:proofErr w:type="gramStart"/>
            <w:r w:rsidRPr="00EF2710">
              <w:rPr>
                <w:rFonts w:ascii="Calibri" w:hAnsi="Calibri" w:cs="Arial"/>
                <w:sz w:val="20"/>
                <w:lang w:val="fr-FR"/>
              </w:rPr>
              <w:t>s’ MN</w:t>
            </w:r>
            <w:proofErr w:type="gramEnd"/>
            <w:r w:rsidRPr="00EF2710">
              <w:rPr>
                <w:rFonts w:ascii="Calibri" w:hAnsi="Calibri" w:cs="Arial"/>
                <w:sz w:val="20"/>
                <w:lang w:val="fr-FR"/>
              </w:rPr>
              <w:t>/m</w:t>
            </w:r>
            <w:r w:rsidRPr="00EF2710">
              <w:rPr>
                <w:rFonts w:ascii="Calibri" w:hAnsi="Calibri" w:cs="Arial"/>
                <w:sz w:val="20"/>
                <w:vertAlign w:val="superscript"/>
                <w:lang w:val="fr-FR"/>
              </w:rPr>
              <w:t xml:space="preserve">3 </w:t>
            </w:r>
          </w:p>
        </w:tc>
        <w:tc>
          <w:tcPr>
            <w:tcW w:w="2202" w:type="dxa"/>
            <w:gridSpan w:val="2"/>
            <w:tcBorders>
              <w:top w:val="single" w:sz="4" w:space="0" w:color="auto"/>
              <w:left w:val="single" w:sz="4" w:space="0" w:color="auto"/>
              <w:right w:val="single" w:sz="4" w:space="0" w:color="auto"/>
            </w:tcBorders>
            <w:shd w:val="clear" w:color="auto" w:fill="auto"/>
            <w:vAlign w:val="center"/>
          </w:tcPr>
          <w:p w14:paraId="374E3408" w14:textId="77777777" w:rsidR="006B3F44" w:rsidRPr="00B2636E" w:rsidRDefault="006B3F44" w:rsidP="00BC5F19">
            <w:pPr>
              <w:spacing w:after="0"/>
              <w:jc w:val="both"/>
              <w:rPr>
                <w:rFonts w:ascii="Calibri" w:hAnsi="Calibri" w:cs="Arial"/>
                <w:b/>
                <w:sz w:val="20"/>
              </w:rPr>
            </w:pPr>
            <w:r w:rsidRPr="00B2636E">
              <w:rPr>
                <w:rFonts w:ascii="Calibri" w:hAnsi="Calibri" w:cs="Arial"/>
                <w:b/>
                <w:sz w:val="20"/>
              </w:rPr>
              <w:t>Monolitinė</w:t>
            </w:r>
          </w:p>
          <w:p w14:paraId="4E2ED579" w14:textId="77777777" w:rsidR="006B3F44" w:rsidRPr="00B2636E" w:rsidRDefault="006B3F44" w:rsidP="00BC5F19">
            <w:pPr>
              <w:spacing w:after="0"/>
              <w:jc w:val="both"/>
              <w:rPr>
                <w:rFonts w:ascii="Calibri" w:hAnsi="Calibri" w:cs="Arial"/>
                <w:sz w:val="20"/>
              </w:rPr>
            </w:pPr>
            <w:r w:rsidRPr="00B2636E">
              <w:rPr>
                <w:rFonts w:ascii="Calibri" w:hAnsi="Calibri" w:cs="Arial"/>
                <w:b/>
                <w:sz w:val="20"/>
              </w:rPr>
              <w:t>gelžbetoninė perdanga</w:t>
            </w:r>
          </w:p>
        </w:tc>
        <w:tc>
          <w:tcPr>
            <w:tcW w:w="2202" w:type="dxa"/>
            <w:gridSpan w:val="2"/>
            <w:tcBorders>
              <w:top w:val="single" w:sz="4" w:space="0" w:color="auto"/>
              <w:left w:val="single" w:sz="4" w:space="0" w:color="auto"/>
              <w:right w:val="single" w:sz="4" w:space="0" w:color="auto"/>
            </w:tcBorders>
          </w:tcPr>
          <w:p w14:paraId="3D25E2A3" w14:textId="51EC1A67" w:rsidR="009E25F7" w:rsidRPr="00B2636E" w:rsidRDefault="009E25F7" w:rsidP="009E25F7">
            <w:pPr>
              <w:spacing w:after="0"/>
              <w:rPr>
                <w:rFonts w:ascii="Calibri" w:hAnsi="Calibri" w:cs="Arial"/>
                <w:b/>
                <w:sz w:val="20"/>
              </w:rPr>
            </w:pPr>
            <w:r w:rsidRPr="00E24F8D">
              <w:rPr>
                <w:rFonts w:ascii="Calibri" w:hAnsi="Calibri" w:cs="Arial"/>
                <w:b/>
                <w:sz w:val="20"/>
              </w:rPr>
              <w:t>2</w:t>
            </w:r>
            <w:r w:rsidR="00522001">
              <w:rPr>
                <w:rFonts w:ascii="Calibri" w:hAnsi="Calibri" w:cs="Arial"/>
                <w:b/>
                <w:sz w:val="20"/>
              </w:rPr>
              <w:t>0</w:t>
            </w:r>
            <w:r w:rsidRPr="00E24F8D">
              <w:rPr>
                <w:rFonts w:ascii="Calibri" w:hAnsi="Calibri" w:cs="Arial"/>
                <w:b/>
                <w:sz w:val="20"/>
              </w:rPr>
              <w:t>0 mm</w:t>
            </w:r>
            <w:r>
              <w:rPr>
                <w:rFonts w:ascii="Calibri" w:hAnsi="Calibri" w:cs="Arial"/>
                <w:b/>
                <w:sz w:val="20"/>
              </w:rPr>
              <w:t xml:space="preserve"> k</w:t>
            </w:r>
            <w:r w:rsidRPr="00B2636E">
              <w:rPr>
                <w:rFonts w:ascii="Calibri" w:hAnsi="Calibri" w:cs="Arial"/>
                <w:b/>
                <w:sz w:val="20"/>
              </w:rPr>
              <w:t>iaurymėtoji</w:t>
            </w:r>
          </w:p>
          <w:p w14:paraId="345AA460" w14:textId="19D82C98" w:rsidR="006B3F44" w:rsidRPr="00B2636E" w:rsidRDefault="009E25F7" w:rsidP="009E25F7">
            <w:pPr>
              <w:spacing w:after="0"/>
              <w:jc w:val="both"/>
              <w:rPr>
                <w:rFonts w:ascii="Calibri" w:hAnsi="Calibri" w:cs="Arial"/>
                <w:b/>
                <w:sz w:val="20"/>
              </w:rPr>
            </w:pPr>
            <w:r w:rsidRPr="00B2636E">
              <w:rPr>
                <w:rFonts w:ascii="Calibri" w:hAnsi="Calibri" w:cs="Arial"/>
                <w:b/>
                <w:sz w:val="20"/>
              </w:rPr>
              <w:t>g</w:t>
            </w:r>
            <w:r>
              <w:rPr>
                <w:rFonts w:ascii="Calibri" w:hAnsi="Calibri" w:cs="Arial"/>
                <w:b/>
                <w:sz w:val="20"/>
              </w:rPr>
              <w:t>/b</w:t>
            </w:r>
            <w:r w:rsidRPr="00B2636E">
              <w:rPr>
                <w:rFonts w:ascii="Calibri" w:hAnsi="Calibri" w:cs="Arial"/>
                <w:b/>
                <w:sz w:val="20"/>
              </w:rPr>
              <w:t xml:space="preserve"> perdanga</w:t>
            </w:r>
            <w:r>
              <w:rPr>
                <w:rFonts w:ascii="Calibri" w:hAnsi="Calibri" w:cs="Arial"/>
                <w:b/>
                <w:sz w:val="20"/>
              </w:rPr>
              <w:t xml:space="preserve"> ar </w:t>
            </w:r>
            <w:r w:rsidR="00522001">
              <w:rPr>
                <w:rFonts w:ascii="Calibri" w:hAnsi="Calibri" w:cs="Arial"/>
                <w:b/>
                <w:sz w:val="20"/>
              </w:rPr>
              <w:t>2</w:t>
            </w:r>
            <w:r>
              <w:rPr>
                <w:rFonts w:ascii="Calibri" w:hAnsi="Calibri" w:cs="Arial"/>
                <w:b/>
                <w:sz w:val="20"/>
              </w:rPr>
              <w:t xml:space="preserve">40 mm </w:t>
            </w:r>
            <w:r w:rsidRPr="005114D7">
              <w:rPr>
                <w:rFonts w:ascii="Calibri" w:hAnsi="Calibri" w:cs="Arial"/>
                <w:b/>
                <w:sz w:val="20"/>
              </w:rPr>
              <w:t>gelžbetoninių sijų ir betoninių blokų</w:t>
            </w:r>
            <w:r>
              <w:rPr>
                <w:rFonts w:ascii="Calibri" w:hAnsi="Calibri" w:cs="Arial"/>
                <w:b/>
                <w:sz w:val="20"/>
              </w:rPr>
              <w:t xml:space="preserve"> perdanga</w:t>
            </w:r>
          </w:p>
        </w:tc>
        <w:tc>
          <w:tcPr>
            <w:tcW w:w="22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05021" w14:textId="74D58891" w:rsidR="006B3F44" w:rsidRPr="00B2636E" w:rsidRDefault="00E24F8D" w:rsidP="009E25F7">
            <w:pPr>
              <w:spacing w:after="0"/>
              <w:rPr>
                <w:rFonts w:ascii="Calibri" w:hAnsi="Calibri" w:cs="Arial"/>
                <w:b/>
                <w:sz w:val="20"/>
              </w:rPr>
            </w:pPr>
            <w:r w:rsidRPr="00E24F8D">
              <w:rPr>
                <w:rFonts w:ascii="Calibri" w:hAnsi="Calibri" w:cs="Arial"/>
                <w:b/>
                <w:sz w:val="20"/>
              </w:rPr>
              <w:t>220 mm</w:t>
            </w:r>
            <w:r>
              <w:rPr>
                <w:rFonts w:ascii="Calibri" w:hAnsi="Calibri" w:cs="Arial"/>
                <w:b/>
                <w:sz w:val="20"/>
              </w:rPr>
              <w:t xml:space="preserve"> k</w:t>
            </w:r>
            <w:r w:rsidR="006B3F44" w:rsidRPr="00B2636E">
              <w:rPr>
                <w:rFonts w:ascii="Calibri" w:hAnsi="Calibri" w:cs="Arial"/>
                <w:b/>
                <w:sz w:val="20"/>
              </w:rPr>
              <w:t>iaurymėtoji</w:t>
            </w:r>
          </w:p>
          <w:p w14:paraId="6DCF05A3" w14:textId="6E51FCD0" w:rsidR="006B3F44" w:rsidRPr="00B2636E" w:rsidRDefault="006B3F44" w:rsidP="009E25F7">
            <w:pPr>
              <w:spacing w:after="0"/>
              <w:rPr>
                <w:rFonts w:ascii="Calibri" w:hAnsi="Calibri" w:cs="Arial"/>
                <w:sz w:val="20"/>
              </w:rPr>
            </w:pPr>
            <w:r w:rsidRPr="00B2636E">
              <w:rPr>
                <w:rFonts w:ascii="Calibri" w:hAnsi="Calibri" w:cs="Arial"/>
                <w:b/>
                <w:sz w:val="20"/>
              </w:rPr>
              <w:t>g</w:t>
            </w:r>
            <w:r w:rsidR="00A82AD5">
              <w:rPr>
                <w:rFonts w:ascii="Calibri" w:hAnsi="Calibri" w:cs="Arial"/>
                <w:b/>
                <w:sz w:val="20"/>
              </w:rPr>
              <w:t>/b</w:t>
            </w:r>
            <w:r w:rsidRPr="00B2636E">
              <w:rPr>
                <w:rFonts w:ascii="Calibri" w:hAnsi="Calibri" w:cs="Arial"/>
                <w:b/>
                <w:sz w:val="20"/>
              </w:rPr>
              <w:t xml:space="preserve"> perdanga</w:t>
            </w:r>
            <w:r w:rsidR="00A82AD5">
              <w:rPr>
                <w:rFonts w:ascii="Calibri" w:hAnsi="Calibri" w:cs="Arial"/>
                <w:b/>
                <w:sz w:val="20"/>
              </w:rPr>
              <w:t xml:space="preserve"> ar 340 mm </w:t>
            </w:r>
            <w:r w:rsidR="005114D7" w:rsidRPr="005114D7">
              <w:rPr>
                <w:rFonts w:ascii="Calibri" w:hAnsi="Calibri" w:cs="Arial"/>
                <w:b/>
                <w:sz w:val="20"/>
              </w:rPr>
              <w:t>gelžbetoninių sijų ir betoninių blokų</w:t>
            </w:r>
            <w:r w:rsidR="009E25F7">
              <w:rPr>
                <w:rFonts w:ascii="Calibri" w:hAnsi="Calibri" w:cs="Arial"/>
                <w:b/>
                <w:sz w:val="20"/>
              </w:rPr>
              <w:t xml:space="preserve"> perdanga</w:t>
            </w:r>
          </w:p>
        </w:tc>
      </w:tr>
      <w:tr w:rsidR="00CA33D8" w:rsidRPr="00EF2710" w14:paraId="3045CF45" w14:textId="77777777" w:rsidTr="008C315C">
        <w:trPr>
          <w:trHeight w:val="1164"/>
          <w:jc w:val="center"/>
        </w:trPr>
        <w:tc>
          <w:tcPr>
            <w:tcW w:w="943" w:type="dxa"/>
            <w:vMerge/>
            <w:tcBorders>
              <w:left w:val="single" w:sz="4" w:space="0" w:color="auto"/>
              <w:bottom w:val="single" w:sz="4" w:space="0" w:color="auto"/>
              <w:right w:val="single" w:sz="4" w:space="0" w:color="auto"/>
            </w:tcBorders>
            <w:shd w:val="clear" w:color="auto" w:fill="auto"/>
            <w:vAlign w:val="center"/>
          </w:tcPr>
          <w:p w14:paraId="4A345943" w14:textId="77777777" w:rsidR="00CA33D8" w:rsidRPr="00EF2710" w:rsidRDefault="00CA33D8" w:rsidP="00CA33D8">
            <w:pPr>
              <w:jc w:val="both"/>
              <w:rPr>
                <w:rFonts w:ascii="Calibri" w:hAnsi="Calibri" w:cs="Arial"/>
                <w:lang w:val="sv-SE"/>
              </w:rPr>
            </w:pPr>
          </w:p>
        </w:tc>
        <w:tc>
          <w:tcPr>
            <w:tcW w:w="943" w:type="dxa"/>
            <w:vMerge/>
            <w:tcBorders>
              <w:left w:val="single" w:sz="4" w:space="0" w:color="auto"/>
              <w:bottom w:val="single" w:sz="4" w:space="0" w:color="auto"/>
              <w:right w:val="single" w:sz="4" w:space="0" w:color="auto"/>
            </w:tcBorders>
            <w:shd w:val="clear" w:color="auto" w:fill="auto"/>
            <w:vAlign w:val="center"/>
          </w:tcPr>
          <w:p w14:paraId="555141A5" w14:textId="77777777" w:rsidR="00CA33D8" w:rsidRPr="00EF2710" w:rsidRDefault="00CA33D8" w:rsidP="00CA33D8">
            <w:pPr>
              <w:jc w:val="both"/>
              <w:rPr>
                <w:rFonts w:ascii="Calibri" w:hAnsi="Calibri" w:cs="Arial"/>
                <w:lang w:val="en-US"/>
              </w:rPr>
            </w:pPr>
          </w:p>
        </w:tc>
        <w:tc>
          <w:tcPr>
            <w:tcW w:w="858" w:type="dxa"/>
            <w:vMerge/>
            <w:tcBorders>
              <w:left w:val="single" w:sz="4" w:space="0" w:color="auto"/>
              <w:bottom w:val="single" w:sz="4" w:space="0" w:color="auto"/>
              <w:right w:val="single" w:sz="4" w:space="0" w:color="auto"/>
            </w:tcBorders>
            <w:shd w:val="clear" w:color="auto" w:fill="auto"/>
            <w:vAlign w:val="center"/>
          </w:tcPr>
          <w:p w14:paraId="29503CC5" w14:textId="77777777" w:rsidR="00CA33D8" w:rsidRPr="00EF2710" w:rsidRDefault="00CA33D8" w:rsidP="00CA33D8">
            <w:pPr>
              <w:jc w:val="both"/>
              <w:rPr>
                <w:rFonts w:ascii="Calibri" w:hAnsi="Calibri" w:cs="Arial"/>
                <w:lang w:val="sv-SE"/>
              </w:rPr>
            </w:pPr>
          </w:p>
        </w:tc>
        <w:tc>
          <w:tcPr>
            <w:tcW w:w="1101" w:type="dxa"/>
            <w:tcBorders>
              <w:left w:val="single" w:sz="4" w:space="0" w:color="auto"/>
              <w:right w:val="single" w:sz="4" w:space="0" w:color="auto"/>
            </w:tcBorders>
            <w:shd w:val="clear" w:color="auto" w:fill="auto"/>
            <w:vAlign w:val="center"/>
          </w:tcPr>
          <w:p w14:paraId="063825A4" w14:textId="5E171E3D" w:rsidR="00CA33D8" w:rsidRPr="00B2636E" w:rsidRDefault="00CA33D8" w:rsidP="00CA33D8">
            <w:pPr>
              <w:spacing w:after="0"/>
              <w:jc w:val="both"/>
              <w:rPr>
                <w:rFonts w:ascii="Calibri" w:hAnsi="Calibri" w:cs="Arial"/>
                <w:sz w:val="20"/>
              </w:rPr>
            </w:pPr>
            <w:r w:rsidRPr="00B2636E">
              <w:rPr>
                <w:rFonts w:ascii="Calibri" w:hAnsi="Calibri" w:cs="Arial"/>
                <w:sz w:val="18"/>
                <w:szCs w:val="18"/>
              </w:rPr>
              <w:t>Smūgio garso</w:t>
            </w:r>
            <w:r w:rsidRPr="00B2636E">
              <w:rPr>
                <w:rFonts w:ascii="Calibri" w:hAnsi="Calibri" w:cs="Arial"/>
                <w:sz w:val="20"/>
              </w:rPr>
              <w:t xml:space="preserve"> </w:t>
            </w:r>
            <w:proofErr w:type="spellStart"/>
            <w:r w:rsidRPr="00B2636E">
              <w:rPr>
                <w:rFonts w:ascii="Calibri" w:hAnsi="Calibri" w:cs="Arial"/>
                <w:sz w:val="20"/>
              </w:rPr>
              <w:t>L’</w:t>
            </w:r>
            <w:r w:rsidRPr="00B2636E">
              <w:rPr>
                <w:rFonts w:ascii="Calibri" w:hAnsi="Calibri" w:cs="Arial"/>
                <w:sz w:val="20"/>
                <w:vertAlign w:val="subscript"/>
              </w:rPr>
              <w:t>n,w</w:t>
            </w:r>
            <w:proofErr w:type="spellEnd"/>
            <w:r w:rsidRPr="00B2636E">
              <w:rPr>
                <w:rFonts w:ascii="Calibri" w:hAnsi="Calibri" w:cs="Arial"/>
                <w:sz w:val="20"/>
                <w:vertAlign w:val="subscript"/>
              </w:rPr>
              <w:t xml:space="preserve"> </w:t>
            </w:r>
            <w:r w:rsidRPr="00B2636E">
              <w:rPr>
                <w:rFonts w:ascii="Calibri" w:hAnsi="Calibri" w:cs="Arial"/>
                <w:sz w:val="20"/>
              </w:rPr>
              <w:t xml:space="preserve"> + C</w:t>
            </w:r>
            <w:r w:rsidRPr="00B2636E">
              <w:rPr>
                <w:rFonts w:ascii="Calibri" w:hAnsi="Calibri" w:cs="Arial"/>
                <w:sz w:val="20"/>
                <w:vertAlign w:val="subscript"/>
              </w:rPr>
              <w:t xml:space="preserve">i,100-2500 </w:t>
            </w:r>
            <w:r w:rsidRPr="00B2636E">
              <w:rPr>
                <w:rFonts w:ascii="Calibri" w:hAnsi="Calibri" w:cs="Arial"/>
                <w:sz w:val="18"/>
                <w:szCs w:val="18"/>
              </w:rPr>
              <w:t xml:space="preserve">ribos, </w:t>
            </w:r>
            <w:proofErr w:type="spellStart"/>
            <w:r w:rsidRPr="00B2636E">
              <w:rPr>
                <w:rFonts w:ascii="Calibri" w:hAnsi="Calibri" w:cs="Arial"/>
                <w:sz w:val="18"/>
                <w:szCs w:val="18"/>
              </w:rPr>
              <w:t>dB</w:t>
            </w:r>
            <w:proofErr w:type="spellEnd"/>
          </w:p>
        </w:tc>
        <w:tc>
          <w:tcPr>
            <w:tcW w:w="1101" w:type="dxa"/>
            <w:tcBorders>
              <w:top w:val="single" w:sz="4" w:space="0" w:color="auto"/>
              <w:left w:val="single" w:sz="4" w:space="0" w:color="auto"/>
              <w:right w:val="single" w:sz="4" w:space="0" w:color="auto"/>
            </w:tcBorders>
            <w:shd w:val="clear" w:color="auto" w:fill="auto"/>
            <w:vAlign w:val="center"/>
          </w:tcPr>
          <w:p w14:paraId="3308B06A" w14:textId="37EFE5B9" w:rsidR="00CA33D8" w:rsidRPr="00B2636E" w:rsidRDefault="00CA33D8" w:rsidP="00CA33D8">
            <w:pPr>
              <w:spacing w:after="0"/>
              <w:jc w:val="both"/>
              <w:rPr>
                <w:rFonts w:ascii="Calibri" w:hAnsi="Calibri" w:cs="Arial"/>
                <w:sz w:val="20"/>
              </w:rPr>
            </w:pPr>
            <w:r w:rsidRPr="00B2636E">
              <w:rPr>
                <w:rFonts w:ascii="Calibri" w:hAnsi="Calibri" w:cs="Arial"/>
                <w:sz w:val="18"/>
                <w:szCs w:val="18"/>
              </w:rPr>
              <w:t xml:space="preserve">Oro garso </w:t>
            </w:r>
            <w:proofErr w:type="spellStart"/>
            <w:r w:rsidRPr="00B2636E">
              <w:rPr>
                <w:rFonts w:ascii="Calibri" w:hAnsi="Calibri" w:cs="Arial"/>
                <w:sz w:val="20"/>
              </w:rPr>
              <w:t>R’</w:t>
            </w:r>
            <w:r w:rsidRPr="00B2636E">
              <w:rPr>
                <w:rFonts w:ascii="Calibri" w:hAnsi="Calibri" w:cs="Arial"/>
                <w:sz w:val="20"/>
                <w:vertAlign w:val="subscript"/>
              </w:rPr>
              <w:t>w</w:t>
            </w:r>
            <w:proofErr w:type="spellEnd"/>
            <w:r w:rsidRPr="00B2636E">
              <w:rPr>
                <w:rFonts w:ascii="Calibri" w:hAnsi="Calibri" w:cs="Arial"/>
                <w:sz w:val="20"/>
                <w:vertAlign w:val="subscript"/>
              </w:rPr>
              <w:t xml:space="preserve"> </w:t>
            </w:r>
            <w:r w:rsidRPr="00B2636E">
              <w:rPr>
                <w:rFonts w:ascii="Calibri" w:hAnsi="Calibri" w:cs="Arial"/>
                <w:sz w:val="20"/>
              </w:rPr>
              <w:t xml:space="preserve"> + C</w:t>
            </w:r>
            <w:r w:rsidRPr="00B2636E">
              <w:rPr>
                <w:rFonts w:ascii="Calibri" w:hAnsi="Calibri" w:cs="Arial"/>
                <w:sz w:val="20"/>
                <w:vertAlign w:val="subscript"/>
              </w:rPr>
              <w:t xml:space="preserve">100-3150 </w:t>
            </w:r>
            <w:r w:rsidRPr="00B2636E">
              <w:rPr>
                <w:rFonts w:ascii="Calibri" w:hAnsi="Calibri" w:cs="Arial"/>
                <w:sz w:val="18"/>
                <w:szCs w:val="18"/>
              </w:rPr>
              <w:t xml:space="preserve">ribos, </w:t>
            </w:r>
            <w:proofErr w:type="spellStart"/>
            <w:r w:rsidRPr="00B2636E">
              <w:rPr>
                <w:rFonts w:ascii="Calibri" w:hAnsi="Calibri" w:cs="Arial"/>
                <w:sz w:val="18"/>
                <w:szCs w:val="18"/>
              </w:rPr>
              <w:t>dB</w:t>
            </w:r>
            <w:proofErr w:type="spellEnd"/>
          </w:p>
        </w:tc>
        <w:tc>
          <w:tcPr>
            <w:tcW w:w="1101" w:type="dxa"/>
            <w:tcBorders>
              <w:left w:val="single" w:sz="4" w:space="0" w:color="auto"/>
              <w:right w:val="single" w:sz="4" w:space="0" w:color="auto"/>
            </w:tcBorders>
            <w:shd w:val="clear" w:color="auto" w:fill="auto"/>
            <w:vAlign w:val="center"/>
          </w:tcPr>
          <w:p w14:paraId="40BF7A41" w14:textId="641BEE59" w:rsidR="00CA33D8" w:rsidRPr="00B2636E" w:rsidRDefault="00CA33D8" w:rsidP="00CA33D8">
            <w:pPr>
              <w:spacing w:after="0"/>
              <w:jc w:val="both"/>
              <w:rPr>
                <w:rFonts w:ascii="Calibri" w:hAnsi="Calibri" w:cs="Arial"/>
                <w:sz w:val="18"/>
                <w:szCs w:val="18"/>
              </w:rPr>
            </w:pPr>
            <w:r w:rsidRPr="00B2636E">
              <w:rPr>
                <w:rFonts w:ascii="Calibri" w:hAnsi="Calibri" w:cs="Arial"/>
                <w:sz w:val="18"/>
                <w:szCs w:val="18"/>
              </w:rPr>
              <w:t xml:space="preserve">Smūgio garso </w:t>
            </w:r>
            <w:proofErr w:type="spellStart"/>
            <w:r w:rsidRPr="00B2636E">
              <w:rPr>
                <w:rFonts w:ascii="Calibri" w:hAnsi="Calibri" w:cs="Arial"/>
                <w:sz w:val="20"/>
              </w:rPr>
              <w:t>L’</w:t>
            </w:r>
            <w:r w:rsidRPr="00B2636E">
              <w:rPr>
                <w:rFonts w:ascii="Calibri" w:hAnsi="Calibri" w:cs="Arial"/>
                <w:sz w:val="20"/>
                <w:vertAlign w:val="subscript"/>
              </w:rPr>
              <w:t>n,w</w:t>
            </w:r>
            <w:proofErr w:type="spellEnd"/>
            <w:r w:rsidRPr="00B2636E">
              <w:rPr>
                <w:rFonts w:ascii="Calibri" w:hAnsi="Calibri" w:cs="Arial"/>
                <w:sz w:val="20"/>
                <w:vertAlign w:val="subscript"/>
              </w:rPr>
              <w:t xml:space="preserve"> </w:t>
            </w:r>
            <w:r w:rsidRPr="00B2636E">
              <w:rPr>
                <w:rFonts w:ascii="Calibri" w:hAnsi="Calibri" w:cs="Arial"/>
                <w:sz w:val="20"/>
              </w:rPr>
              <w:t xml:space="preserve"> + C</w:t>
            </w:r>
            <w:r w:rsidRPr="00B2636E">
              <w:rPr>
                <w:rFonts w:ascii="Calibri" w:hAnsi="Calibri" w:cs="Arial"/>
                <w:sz w:val="20"/>
                <w:vertAlign w:val="subscript"/>
              </w:rPr>
              <w:t xml:space="preserve">i,100-2500 </w:t>
            </w:r>
            <w:r w:rsidRPr="00B2636E">
              <w:rPr>
                <w:rFonts w:ascii="Calibri" w:hAnsi="Calibri" w:cs="Arial"/>
                <w:sz w:val="18"/>
                <w:szCs w:val="18"/>
              </w:rPr>
              <w:t xml:space="preserve">ribos, </w:t>
            </w:r>
            <w:proofErr w:type="spellStart"/>
            <w:r w:rsidRPr="00B2636E">
              <w:rPr>
                <w:rFonts w:ascii="Calibri" w:hAnsi="Calibri" w:cs="Arial"/>
                <w:sz w:val="18"/>
                <w:szCs w:val="18"/>
              </w:rPr>
              <w:t>dB</w:t>
            </w:r>
            <w:proofErr w:type="spellEnd"/>
          </w:p>
        </w:tc>
        <w:tc>
          <w:tcPr>
            <w:tcW w:w="1101" w:type="dxa"/>
            <w:tcBorders>
              <w:top w:val="single" w:sz="4" w:space="0" w:color="auto"/>
              <w:left w:val="single" w:sz="4" w:space="0" w:color="auto"/>
              <w:right w:val="single" w:sz="4" w:space="0" w:color="auto"/>
            </w:tcBorders>
            <w:shd w:val="clear" w:color="auto" w:fill="auto"/>
            <w:vAlign w:val="center"/>
          </w:tcPr>
          <w:p w14:paraId="0CA9F13E" w14:textId="1E93A799" w:rsidR="00CA33D8" w:rsidRPr="00B2636E" w:rsidRDefault="00CA33D8" w:rsidP="00CA33D8">
            <w:pPr>
              <w:spacing w:after="0"/>
              <w:jc w:val="both"/>
              <w:rPr>
                <w:rFonts w:ascii="Calibri" w:hAnsi="Calibri" w:cs="Arial"/>
                <w:sz w:val="18"/>
                <w:szCs w:val="18"/>
              </w:rPr>
            </w:pPr>
            <w:r w:rsidRPr="00B2636E">
              <w:rPr>
                <w:rFonts w:ascii="Calibri" w:hAnsi="Calibri" w:cs="Arial"/>
                <w:sz w:val="18"/>
                <w:szCs w:val="18"/>
              </w:rPr>
              <w:t xml:space="preserve">Oro garso </w:t>
            </w:r>
            <w:proofErr w:type="spellStart"/>
            <w:r w:rsidRPr="00B2636E">
              <w:rPr>
                <w:rFonts w:ascii="Calibri" w:hAnsi="Calibri" w:cs="Arial"/>
                <w:sz w:val="20"/>
              </w:rPr>
              <w:t>R’</w:t>
            </w:r>
            <w:r w:rsidRPr="00B2636E">
              <w:rPr>
                <w:rFonts w:ascii="Calibri" w:hAnsi="Calibri" w:cs="Arial"/>
                <w:sz w:val="20"/>
                <w:vertAlign w:val="subscript"/>
              </w:rPr>
              <w:t>w</w:t>
            </w:r>
            <w:proofErr w:type="spellEnd"/>
            <w:r w:rsidRPr="00B2636E">
              <w:rPr>
                <w:rFonts w:ascii="Calibri" w:hAnsi="Calibri" w:cs="Arial"/>
                <w:sz w:val="20"/>
                <w:vertAlign w:val="subscript"/>
              </w:rPr>
              <w:t xml:space="preserve"> </w:t>
            </w:r>
            <w:r w:rsidRPr="00B2636E">
              <w:rPr>
                <w:rFonts w:ascii="Calibri" w:hAnsi="Calibri" w:cs="Arial"/>
                <w:sz w:val="20"/>
              </w:rPr>
              <w:t xml:space="preserve"> + C</w:t>
            </w:r>
            <w:r w:rsidRPr="00B2636E">
              <w:rPr>
                <w:rFonts w:ascii="Calibri" w:hAnsi="Calibri" w:cs="Arial"/>
                <w:sz w:val="20"/>
                <w:vertAlign w:val="subscript"/>
              </w:rPr>
              <w:t xml:space="preserve">100-3150 </w:t>
            </w:r>
            <w:r w:rsidRPr="00B2636E">
              <w:rPr>
                <w:rFonts w:ascii="Calibri" w:hAnsi="Calibri" w:cs="Arial"/>
                <w:sz w:val="18"/>
                <w:szCs w:val="18"/>
              </w:rPr>
              <w:t xml:space="preserve">ribos, </w:t>
            </w:r>
            <w:proofErr w:type="spellStart"/>
            <w:r w:rsidRPr="00B2636E">
              <w:rPr>
                <w:rFonts w:ascii="Calibri" w:hAnsi="Calibri" w:cs="Arial"/>
                <w:sz w:val="18"/>
                <w:szCs w:val="18"/>
              </w:rPr>
              <w:t>dB</w:t>
            </w:r>
            <w:proofErr w:type="spellEnd"/>
          </w:p>
        </w:tc>
        <w:tc>
          <w:tcPr>
            <w:tcW w:w="1101" w:type="dxa"/>
            <w:tcBorders>
              <w:left w:val="single" w:sz="4" w:space="0" w:color="auto"/>
              <w:right w:val="single" w:sz="4" w:space="0" w:color="auto"/>
            </w:tcBorders>
            <w:shd w:val="clear" w:color="auto" w:fill="auto"/>
            <w:vAlign w:val="center"/>
          </w:tcPr>
          <w:p w14:paraId="6F648FF2" w14:textId="064E80A5" w:rsidR="00CA33D8" w:rsidRPr="00B2636E" w:rsidRDefault="00CA33D8" w:rsidP="00CA33D8">
            <w:pPr>
              <w:spacing w:after="0"/>
              <w:jc w:val="both"/>
              <w:rPr>
                <w:rFonts w:ascii="Calibri" w:hAnsi="Calibri" w:cs="Arial"/>
                <w:sz w:val="20"/>
              </w:rPr>
            </w:pPr>
            <w:r w:rsidRPr="00B2636E">
              <w:rPr>
                <w:rFonts w:ascii="Calibri" w:hAnsi="Calibri" w:cs="Arial"/>
                <w:sz w:val="18"/>
                <w:szCs w:val="18"/>
              </w:rPr>
              <w:t xml:space="preserve">Smūgio garso </w:t>
            </w:r>
            <w:proofErr w:type="spellStart"/>
            <w:r w:rsidRPr="00B2636E">
              <w:rPr>
                <w:rFonts w:ascii="Calibri" w:hAnsi="Calibri" w:cs="Arial"/>
                <w:sz w:val="20"/>
              </w:rPr>
              <w:t>L’</w:t>
            </w:r>
            <w:r w:rsidRPr="00B2636E">
              <w:rPr>
                <w:rFonts w:ascii="Calibri" w:hAnsi="Calibri" w:cs="Arial"/>
                <w:sz w:val="20"/>
                <w:vertAlign w:val="subscript"/>
              </w:rPr>
              <w:t>n,w</w:t>
            </w:r>
            <w:proofErr w:type="spellEnd"/>
            <w:r w:rsidRPr="00B2636E">
              <w:rPr>
                <w:rFonts w:ascii="Calibri" w:hAnsi="Calibri" w:cs="Arial"/>
                <w:sz w:val="20"/>
                <w:vertAlign w:val="subscript"/>
              </w:rPr>
              <w:t xml:space="preserve"> </w:t>
            </w:r>
            <w:r w:rsidRPr="00B2636E">
              <w:rPr>
                <w:rFonts w:ascii="Calibri" w:hAnsi="Calibri" w:cs="Arial"/>
                <w:sz w:val="20"/>
              </w:rPr>
              <w:t xml:space="preserve"> + C</w:t>
            </w:r>
            <w:r w:rsidRPr="00B2636E">
              <w:rPr>
                <w:rFonts w:ascii="Calibri" w:hAnsi="Calibri" w:cs="Arial"/>
                <w:sz w:val="20"/>
                <w:vertAlign w:val="subscript"/>
              </w:rPr>
              <w:t xml:space="preserve">i,100-2500 </w:t>
            </w:r>
            <w:r w:rsidRPr="00B2636E">
              <w:rPr>
                <w:rFonts w:ascii="Calibri" w:hAnsi="Calibri" w:cs="Arial"/>
                <w:sz w:val="18"/>
                <w:szCs w:val="18"/>
              </w:rPr>
              <w:t xml:space="preserve">ribos, </w:t>
            </w:r>
            <w:proofErr w:type="spellStart"/>
            <w:r w:rsidRPr="00B2636E">
              <w:rPr>
                <w:rFonts w:ascii="Calibri" w:hAnsi="Calibri" w:cs="Arial"/>
                <w:sz w:val="18"/>
                <w:szCs w:val="18"/>
              </w:rPr>
              <w:t>dB</w:t>
            </w:r>
            <w:proofErr w:type="spellEnd"/>
          </w:p>
        </w:tc>
        <w:tc>
          <w:tcPr>
            <w:tcW w:w="1102" w:type="dxa"/>
            <w:tcBorders>
              <w:top w:val="single" w:sz="4" w:space="0" w:color="auto"/>
              <w:left w:val="single" w:sz="4" w:space="0" w:color="auto"/>
              <w:right w:val="single" w:sz="4" w:space="0" w:color="auto"/>
            </w:tcBorders>
            <w:shd w:val="clear" w:color="auto" w:fill="auto"/>
            <w:vAlign w:val="center"/>
          </w:tcPr>
          <w:p w14:paraId="7FF33504" w14:textId="60D6145B" w:rsidR="00CA33D8" w:rsidRPr="00B2636E" w:rsidRDefault="00CA33D8" w:rsidP="00CA33D8">
            <w:pPr>
              <w:spacing w:after="0"/>
              <w:jc w:val="both"/>
              <w:rPr>
                <w:rFonts w:ascii="Calibri" w:hAnsi="Calibri" w:cs="Arial"/>
                <w:sz w:val="20"/>
              </w:rPr>
            </w:pPr>
            <w:r w:rsidRPr="00B2636E">
              <w:rPr>
                <w:rFonts w:ascii="Calibri" w:hAnsi="Calibri" w:cs="Arial"/>
                <w:sz w:val="18"/>
                <w:szCs w:val="18"/>
              </w:rPr>
              <w:t xml:space="preserve">Oro garso </w:t>
            </w:r>
            <w:proofErr w:type="spellStart"/>
            <w:r w:rsidRPr="00B2636E">
              <w:rPr>
                <w:rFonts w:ascii="Calibri" w:hAnsi="Calibri" w:cs="Arial"/>
                <w:sz w:val="20"/>
              </w:rPr>
              <w:t>R’</w:t>
            </w:r>
            <w:r w:rsidRPr="00B2636E">
              <w:rPr>
                <w:rFonts w:ascii="Calibri" w:hAnsi="Calibri" w:cs="Arial"/>
                <w:sz w:val="20"/>
                <w:vertAlign w:val="subscript"/>
              </w:rPr>
              <w:t>w</w:t>
            </w:r>
            <w:proofErr w:type="spellEnd"/>
            <w:r w:rsidRPr="00B2636E">
              <w:rPr>
                <w:rFonts w:ascii="Calibri" w:hAnsi="Calibri" w:cs="Arial"/>
                <w:sz w:val="20"/>
                <w:vertAlign w:val="subscript"/>
              </w:rPr>
              <w:t xml:space="preserve"> </w:t>
            </w:r>
            <w:r w:rsidRPr="00B2636E">
              <w:rPr>
                <w:rFonts w:ascii="Calibri" w:hAnsi="Calibri" w:cs="Arial"/>
                <w:sz w:val="20"/>
              </w:rPr>
              <w:t xml:space="preserve"> + C</w:t>
            </w:r>
            <w:r w:rsidRPr="00B2636E">
              <w:rPr>
                <w:rFonts w:ascii="Calibri" w:hAnsi="Calibri" w:cs="Arial"/>
                <w:sz w:val="20"/>
                <w:vertAlign w:val="subscript"/>
              </w:rPr>
              <w:t xml:space="preserve">100-3150 </w:t>
            </w:r>
            <w:r w:rsidRPr="00B2636E">
              <w:rPr>
                <w:rFonts w:ascii="Calibri" w:hAnsi="Calibri" w:cs="Arial"/>
                <w:sz w:val="18"/>
                <w:szCs w:val="18"/>
              </w:rPr>
              <w:t xml:space="preserve">ribos, </w:t>
            </w:r>
            <w:proofErr w:type="spellStart"/>
            <w:r w:rsidRPr="00B2636E">
              <w:rPr>
                <w:rFonts w:ascii="Calibri" w:hAnsi="Calibri" w:cs="Arial"/>
                <w:sz w:val="18"/>
                <w:szCs w:val="18"/>
              </w:rPr>
              <w:t>dB</w:t>
            </w:r>
            <w:proofErr w:type="spellEnd"/>
          </w:p>
        </w:tc>
      </w:tr>
      <w:tr w:rsidR="00930B33" w:rsidRPr="00EF2710" w14:paraId="64334B64" w14:textId="77777777" w:rsidTr="00E73EA5">
        <w:trPr>
          <w:trHeight w:val="255"/>
          <w:jc w:val="center"/>
        </w:trPr>
        <w:tc>
          <w:tcPr>
            <w:tcW w:w="943" w:type="dxa"/>
            <w:vMerge w:val="restart"/>
            <w:tcBorders>
              <w:top w:val="single" w:sz="4" w:space="0" w:color="auto"/>
              <w:left w:val="single" w:sz="4" w:space="0" w:color="auto"/>
              <w:right w:val="single" w:sz="4" w:space="0" w:color="auto"/>
            </w:tcBorders>
            <w:shd w:val="clear" w:color="auto" w:fill="auto"/>
            <w:vAlign w:val="center"/>
          </w:tcPr>
          <w:p w14:paraId="012D4471" w14:textId="777777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ISOVER FLO</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0A74345" w14:textId="77777777" w:rsidR="00930B33" w:rsidRPr="00EF2710" w:rsidRDefault="00930B33" w:rsidP="00930B33">
            <w:pPr>
              <w:spacing w:after="0"/>
              <w:jc w:val="center"/>
              <w:rPr>
                <w:rFonts w:ascii="Calibri" w:hAnsi="Calibri" w:cs="Arial"/>
                <w:sz w:val="20"/>
                <w:lang w:val="sv-SE"/>
              </w:rPr>
            </w:pPr>
            <w:r w:rsidRPr="00EF2710">
              <w:rPr>
                <w:rFonts w:ascii="Calibri" w:hAnsi="Calibri" w:cs="Arial"/>
                <w:sz w:val="20"/>
                <w:lang w:val="sv-SE"/>
              </w:rPr>
              <w:t>20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6BCC8BF3" w14:textId="777777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≤20</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121E570" w14:textId="777777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41-45</w:t>
            </w:r>
          </w:p>
        </w:tc>
        <w:tc>
          <w:tcPr>
            <w:tcW w:w="1101" w:type="dxa"/>
            <w:tcBorders>
              <w:left w:val="single" w:sz="4" w:space="0" w:color="auto"/>
              <w:right w:val="single" w:sz="4" w:space="0" w:color="auto"/>
            </w:tcBorders>
            <w:shd w:val="clear" w:color="auto" w:fill="auto"/>
            <w:vAlign w:val="center"/>
          </w:tcPr>
          <w:p w14:paraId="2C6BAC6A" w14:textId="777777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61-66</w:t>
            </w:r>
          </w:p>
        </w:tc>
        <w:tc>
          <w:tcPr>
            <w:tcW w:w="1101" w:type="dxa"/>
            <w:tcBorders>
              <w:left w:val="single" w:sz="4" w:space="0" w:color="auto"/>
              <w:right w:val="single" w:sz="4" w:space="0" w:color="auto"/>
            </w:tcBorders>
            <w:shd w:val="clear" w:color="auto" w:fill="auto"/>
            <w:vAlign w:val="center"/>
          </w:tcPr>
          <w:p w14:paraId="7035DAAE" w14:textId="66B1975E" w:rsidR="00930B33" w:rsidRDefault="00930B33" w:rsidP="00930B33">
            <w:pPr>
              <w:spacing w:after="0"/>
              <w:jc w:val="center"/>
              <w:rPr>
                <w:rFonts w:ascii="Calibri" w:hAnsi="Calibri" w:cs="Arial"/>
                <w:sz w:val="20"/>
                <w:lang w:val="sv-SE"/>
              </w:rPr>
            </w:pPr>
            <w:r>
              <w:rPr>
                <w:rFonts w:ascii="Calibri" w:hAnsi="Calibri" w:cs="Arial"/>
                <w:sz w:val="20"/>
                <w:lang w:val="sv-SE"/>
              </w:rPr>
              <w:t>43-47</w:t>
            </w:r>
          </w:p>
        </w:tc>
        <w:tc>
          <w:tcPr>
            <w:tcW w:w="1101" w:type="dxa"/>
            <w:tcBorders>
              <w:left w:val="single" w:sz="4" w:space="0" w:color="auto"/>
              <w:right w:val="single" w:sz="4" w:space="0" w:color="auto"/>
            </w:tcBorders>
            <w:shd w:val="clear" w:color="auto" w:fill="auto"/>
            <w:vAlign w:val="center"/>
          </w:tcPr>
          <w:p w14:paraId="128017F3" w14:textId="20E312A3" w:rsidR="00930B33" w:rsidRDefault="00930B33" w:rsidP="00930B33">
            <w:pPr>
              <w:spacing w:after="0"/>
              <w:jc w:val="center"/>
              <w:rPr>
                <w:rFonts w:ascii="Calibri" w:hAnsi="Calibri" w:cs="Arial"/>
                <w:sz w:val="20"/>
                <w:lang w:val="sv-SE"/>
              </w:rPr>
            </w:pPr>
            <w:r>
              <w:rPr>
                <w:rFonts w:ascii="Calibri" w:hAnsi="Calibri" w:cs="Arial"/>
                <w:sz w:val="20"/>
                <w:lang w:val="sv-SE"/>
              </w:rPr>
              <w:t>59-64</w:t>
            </w:r>
          </w:p>
        </w:tc>
        <w:tc>
          <w:tcPr>
            <w:tcW w:w="1101" w:type="dxa"/>
            <w:tcBorders>
              <w:left w:val="single" w:sz="4" w:space="0" w:color="auto"/>
              <w:right w:val="single" w:sz="4" w:space="0" w:color="auto"/>
            </w:tcBorders>
            <w:shd w:val="clear" w:color="auto" w:fill="auto"/>
            <w:vAlign w:val="center"/>
          </w:tcPr>
          <w:p w14:paraId="39C23739" w14:textId="325F7108" w:rsidR="00930B33" w:rsidRPr="00EF2710" w:rsidRDefault="00930B33" w:rsidP="00930B33">
            <w:pPr>
              <w:spacing w:after="0"/>
              <w:jc w:val="center"/>
              <w:rPr>
                <w:rFonts w:ascii="Calibri" w:hAnsi="Calibri" w:cs="Arial"/>
                <w:sz w:val="20"/>
                <w:lang w:val="sv-SE"/>
              </w:rPr>
            </w:pPr>
            <w:r>
              <w:rPr>
                <w:rFonts w:ascii="Calibri" w:hAnsi="Calibri" w:cs="Arial"/>
                <w:sz w:val="20"/>
                <w:lang w:val="sv-SE"/>
              </w:rPr>
              <w:t>41-45</w:t>
            </w:r>
          </w:p>
        </w:tc>
        <w:tc>
          <w:tcPr>
            <w:tcW w:w="1102" w:type="dxa"/>
            <w:tcBorders>
              <w:left w:val="single" w:sz="4" w:space="0" w:color="auto"/>
              <w:right w:val="single" w:sz="4" w:space="0" w:color="auto"/>
            </w:tcBorders>
            <w:shd w:val="clear" w:color="auto" w:fill="auto"/>
            <w:vAlign w:val="center"/>
          </w:tcPr>
          <w:p w14:paraId="6ACD61F1" w14:textId="777777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59-64</w:t>
            </w:r>
          </w:p>
        </w:tc>
      </w:tr>
      <w:tr w:rsidR="00930B33" w:rsidRPr="00EF2710" w14:paraId="46BE0518" w14:textId="77777777" w:rsidTr="00E73EA5">
        <w:trPr>
          <w:trHeight w:val="255"/>
          <w:jc w:val="center"/>
        </w:trPr>
        <w:tc>
          <w:tcPr>
            <w:tcW w:w="943" w:type="dxa"/>
            <w:vMerge/>
            <w:tcBorders>
              <w:left w:val="single" w:sz="4" w:space="0" w:color="auto"/>
              <w:right w:val="single" w:sz="4" w:space="0" w:color="auto"/>
            </w:tcBorders>
            <w:shd w:val="clear" w:color="auto" w:fill="auto"/>
            <w:vAlign w:val="center"/>
          </w:tcPr>
          <w:p w14:paraId="1EE02A73" w14:textId="77777777" w:rsidR="00930B33" w:rsidRPr="00EF2710" w:rsidRDefault="00930B33" w:rsidP="00930B33">
            <w:pPr>
              <w:spacing w:after="0"/>
              <w:jc w:val="center"/>
              <w:rPr>
                <w:rFonts w:ascii="Calibri" w:hAnsi="Calibri" w:cs="Arial"/>
                <w:sz w:val="20"/>
                <w:lang w:val="sv-S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8C93F91" w14:textId="777777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30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B986395" w14:textId="777777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≤16</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0313707" w14:textId="777777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39-4</w:t>
            </w:r>
            <w:r>
              <w:rPr>
                <w:rFonts w:ascii="Calibri" w:hAnsi="Calibri" w:cs="Arial"/>
                <w:sz w:val="20"/>
                <w:lang w:val="en-US"/>
              </w:rPr>
              <w:t>3</w:t>
            </w:r>
          </w:p>
        </w:tc>
        <w:tc>
          <w:tcPr>
            <w:tcW w:w="1101" w:type="dxa"/>
            <w:tcBorders>
              <w:left w:val="single" w:sz="4" w:space="0" w:color="auto"/>
              <w:right w:val="single" w:sz="4" w:space="0" w:color="auto"/>
            </w:tcBorders>
            <w:shd w:val="clear" w:color="auto" w:fill="auto"/>
            <w:vAlign w:val="center"/>
          </w:tcPr>
          <w:p w14:paraId="1B18D09A" w14:textId="777777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63-68</w:t>
            </w:r>
          </w:p>
        </w:tc>
        <w:tc>
          <w:tcPr>
            <w:tcW w:w="1101" w:type="dxa"/>
            <w:tcBorders>
              <w:left w:val="single" w:sz="4" w:space="0" w:color="auto"/>
              <w:right w:val="single" w:sz="4" w:space="0" w:color="auto"/>
            </w:tcBorders>
            <w:shd w:val="clear" w:color="auto" w:fill="auto"/>
            <w:vAlign w:val="center"/>
          </w:tcPr>
          <w:p w14:paraId="57F039D0" w14:textId="1C80A47C" w:rsidR="00930B33" w:rsidRDefault="00531F05" w:rsidP="00930B33">
            <w:pPr>
              <w:spacing w:after="0"/>
              <w:jc w:val="center"/>
              <w:rPr>
                <w:rFonts w:ascii="Calibri" w:hAnsi="Calibri" w:cs="Arial"/>
                <w:sz w:val="20"/>
                <w:lang w:val="sv-SE"/>
              </w:rPr>
            </w:pPr>
            <w:r>
              <w:rPr>
                <w:rFonts w:ascii="Calibri" w:hAnsi="Calibri" w:cs="Arial"/>
                <w:sz w:val="20"/>
                <w:lang w:val="sv-SE"/>
              </w:rPr>
              <w:t>42</w:t>
            </w:r>
            <w:r w:rsidR="00930B33">
              <w:rPr>
                <w:rFonts w:ascii="Calibri" w:hAnsi="Calibri" w:cs="Arial"/>
                <w:sz w:val="20"/>
                <w:lang w:val="sv-SE"/>
              </w:rPr>
              <w:t>-4</w:t>
            </w:r>
            <w:r>
              <w:rPr>
                <w:rFonts w:ascii="Calibri" w:hAnsi="Calibri" w:cs="Arial"/>
                <w:sz w:val="20"/>
                <w:lang w:val="sv-SE"/>
              </w:rPr>
              <w:t>6</w:t>
            </w:r>
          </w:p>
        </w:tc>
        <w:tc>
          <w:tcPr>
            <w:tcW w:w="1101" w:type="dxa"/>
            <w:tcBorders>
              <w:left w:val="single" w:sz="4" w:space="0" w:color="auto"/>
              <w:right w:val="single" w:sz="4" w:space="0" w:color="auto"/>
            </w:tcBorders>
            <w:shd w:val="clear" w:color="auto" w:fill="auto"/>
            <w:vAlign w:val="center"/>
          </w:tcPr>
          <w:p w14:paraId="2590FBC7" w14:textId="62B72EC7" w:rsidR="00930B33" w:rsidRDefault="00930B33" w:rsidP="00930B33">
            <w:pPr>
              <w:spacing w:after="0"/>
              <w:jc w:val="center"/>
              <w:rPr>
                <w:rFonts w:ascii="Calibri" w:hAnsi="Calibri" w:cs="Arial"/>
                <w:sz w:val="20"/>
                <w:lang w:val="sv-SE"/>
              </w:rPr>
            </w:pPr>
            <w:r>
              <w:rPr>
                <w:rFonts w:ascii="Calibri" w:hAnsi="Calibri" w:cs="Arial"/>
                <w:sz w:val="20"/>
                <w:lang w:val="sv-SE"/>
              </w:rPr>
              <w:t>59</w:t>
            </w:r>
            <w:r w:rsidRPr="00EF2710">
              <w:rPr>
                <w:rFonts w:ascii="Calibri" w:hAnsi="Calibri" w:cs="Arial"/>
                <w:sz w:val="20"/>
                <w:lang w:val="sv-SE"/>
              </w:rPr>
              <w:t>-64</w:t>
            </w:r>
          </w:p>
        </w:tc>
        <w:tc>
          <w:tcPr>
            <w:tcW w:w="1101" w:type="dxa"/>
            <w:tcBorders>
              <w:left w:val="single" w:sz="4" w:space="0" w:color="auto"/>
              <w:right w:val="single" w:sz="4" w:space="0" w:color="auto"/>
            </w:tcBorders>
            <w:shd w:val="clear" w:color="auto" w:fill="auto"/>
            <w:vAlign w:val="center"/>
          </w:tcPr>
          <w:p w14:paraId="22075B3F" w14:textId="24106F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39-43</w:t>
            </w:r>
          </w:p>
        </w:tc>
        <w:tc>
          <w:tcPr>
            <w:tcW w:w="1102" w:type="dxa"/>
            <w:tcBorders>
              <w:left w:val="single" w:sz="4" w:space="0" w:color="auto"/>
              <w:right w:val="single" w:sz="4" w:space="0" w:color="auto"/>
            </w:tcBorders>
            <w:shd w:val="clear" w:color="auto" w:fill="auto"/>
            <w:vAlign w:val="center"/>
          </w:tcPr>
          <w:p w14:paraId="0F443550" w14:textId="777777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59</w:t>
            </w:r>
            <w:r w:rsidRPr="00EF2710">
              <w:rPr>
                <w:rFonts w:ascii="Calibri" w:hAnsi="Calibri" w:cs="Arial"/>
                <w:sz w:val="20"/>
                <w:lang w:val="sv-SE"/>
              </w:rPr>
              <w:t>-64</w:t>
            </w:r>
          </w:p>
        </w:tc>
      </w:tr>
      <w:tr w:rsidR="00930B33" w:rsidRPr="00EF2710" w14:paraId="046B7F83" w14:textId="77777777" w:rsidTr="00E73EA5">
        <w:trPr>
          <w:trHeight w:val="255"/>
          <w:jc w:val="center"/>
        </w:trPr>
        <w:tc>
          <w:tcPr>
            <w:tcW w:w="943" w:type="dxa"/>
            <w:vMerge/>
            <w:tcBorders>
              <w:left w:val="single" w:sz="4" w:space="0" w:color="auto"/>
              <w:right w:val="single" w:sz="4" w:space="0" w:color="auto"/>
            </w:tcBorders>
            <w:shd w:val="clear" w:color="auto" w:fill="auto"/>
            <w:vAlign w:val="center"/>
          </w:tcPr>
          <w:p w14:paraId="02D64B0E" w14:textId="77777777" w:rsidR="00930B33" w:rsidRPr="00EF2710" w:rsidRDefault="00930B33" w:rsidP="00930B33">
            <w:pPr>
              <w:spacing w:after="0"/>
              <w:jc w:val="center"/>
              <w:rPr>
                <w:rFonts w:ascii="Calibri" w:hAnsi="Calibri" w:cs="Arial"/>
                <w:sz w:val="20"/>
                <w:lang w:val="sv-S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20A09B0" w14:textId="77777777" w:rsidR="00930B33" w:rsidRDefault="00930B33" w:rsidP="00930B33">
            <w:pPr>
              <w:spacing w:after="0"/>
              <w:jc w:val="center"/>
              <w:rPr>
                <w:rFonts w:ascii="Calibri" w:hAnsi="Calibri" w:cs="Arial"/>
                <w:sz w:val="20"/>
                <w:lang w:val="sv-SE"/>
              </w:rPr>
            </w:pPr>
            <w:r>
              <w:rPr>
                <w:rFonts w:ascii="Calibri" w:hAnsi="Calibri" w:cs="Arial"/>
                <w:sz w:val="20"/>
                <w:lang w:val="sv-SE"/>
              </w:rPr>
              <w:t>20+20</w:t>
            </w:r>
          </w:p>
        </w:tc>
        <w:tc>
          <w:tcPr>
            <w:tcW w:w="858" w:type="dxa"/>
            <w:vMerge w:val="restart"/>
            <w:tcBorders>
              <w:top w:val="single" w:sz="4" w:space="0" w:color="auto"/>
              <w:left w:val="single" w:sz="4" w:space="0" w:color="auto"/>
              <w:right w:val="single" w:sz="4" w:space="0" w:color="auto"/>
            </w:tcBorders>
            <w:shd w:val="clear" w:color="auto" w:fill="auto"/>
            <w:vAlign w:val="center"/>
          </w:tcPr>
          <w:p w14:paraId="06228839" w14:textId="77777777" w:rsidR="00930B33" w:rsidRDefault="00930B33" w:rsidP="00930B33">
            <w:pPr>
              <w:spacing w:after="0"/>
              <w:jc w:val="center"/>
              <w:rPr>
                <w:rFonts w:ascii="Calibri" w:hAnsi="Calibri" w:cs="Arial"/>
                <w:sz w:val="20"/>
                <w:lang w:val="sv-SE"/>
              </w:rPr>
            </w:pPr>
            <w:r>
              <w:rPr>
                <w:rFonts w:ascii="Calibri" w:hAnsi="Calibri" w:cs="Arial"/>
                <w:sz w:val="20"/>
                <w:lang w:val="sv-SE"/>
              </w:rPr>
              <w:t>≤10</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5D0B0AB" w14:textId="77777777" w:rsidR="00930B33" w:rsidRDefault="00930B33" w:rsidP="00930B33">
            <w:pPr>
              <w:spacing w:after="0"/>
              <w:jc w:val="center"/>
              <w:rPr>
                <w:rFonts w:ascii="Calibri" w:hAnsi="Calibri" w:cs="Arial"/>
                <w:sz w:val="20"/>
                <w:lang w:val="sv-SE"/>
              </w:rPr>
            </w:pPr>
            <w:r>
              <w:rPr>
                <w:rFonts w:ascii="Calibri" w:hAnsi="Calibri" w:cs="Arial"/>
                <w:sz w:val="20"/>
                <w:lang w:val="sv-SE"/>
              </w:rPr>
              <w:t>36-40</w:t>
            </w:r>
          </w:p>
        </w:tc>
        <w:tc>
          <w:tcPr>
            <w:tcW w:w="1101" w:type="dxa"/>
            <w:tcBorders>
              <w:left w:val="single" w:sz="4" w:space="0" w:color="auto"/>
              <w:right w:val="single" w:sz="4" w:space="0" w:color="auto"/>
            </w:tcBorders>
            <w:shd w:val="clear" w:color="auto" w:fill="auto"/>
            <w:vAlign w:val="center"/>
          </w:tcPr>
          <w:p w14:paraId="621698A4" w14:textId="77777777" w:rsidR="00930B33" w:rsidRDefault="00930B33" w:rsidP="00930B33">
            <w:pPr>
              <w:spacing w:after="0"/>
              <w:jc w:val="center"/>
              <w:rPr>
                <w:rFonts w:ascii="Calibri" w:hAnsi="Calibri" w:cs="Arial"/>
                <w:sz w:val="20"/>
                <w:lang w:val="sv-SE"/>
              </w:rPr>
            </w:pPr>
            <w:r>
              <w:rPr>
                <w:rFonts w:ascii="Calibri" w:hAnsi="Calibri" w:cs="Arial"/>
                <w:sz w:val="20"/>
                <w:lang w:val="sv-SE"/>
              </w:rPr>
              <w:t>65-70</w:t>
            </w:r>
          </w:p>
        </w:tc>
        <w:tc>
          <w:tcPr>
            <w:tcW w:w="1101" w:type="dxa"/>
            <w:tcBorders>
              <w:left w:val="single" w:sz="4" w:space="0" w:color="auto"/>
              <w:right w:val="single" w:sz="4" w:space="0" w:color="auto"/>
            </w:tcBorders>
            <w:shd w:val="clear" w:color="auto" w:fill="auto"/>
            <w:vAlign w:val="center"/>
          </w:tcPr>
          <w:p w14:paraId="6E7CF404" w14:textId="21248598" w:rsidR="00930B33" w:rsidRDefault="00930B33" w:rsidP="00930B33">
            <w:pPr>
              <w:spacing w:after="0"/>
              <w:jc w:val="center"/>
              <w:rPr>
                <w:rFonts w:ascii="Calibri" w:hAnsi="Calibri" w:cs="Arial"/>
                <w:sz w:val="20"/>
                <w:lang w:val="sv-SE"/>
              </w:rPr>
            </w:pPr>
            <w:r>
              <w:rPr>
                <w:rFonts w:ascii="Calibri" w:hAnsi="Calibri" w:cs="Arial"/>
                <w:sz w:val="20"/>
                <w:lang w:val="sv-SE"/>
              </w:rPr>
              <w:t>3</w:t>
            </w:r>
            <w:r w:rsidR="00531F05">
              <w:rPr>
                <w:rFonts w:ascii="Calibri" w:hAnsi="Calibri" w:cs="Arial"/>
                <w:sz w:val="20"/>
                <w:lang w:val="sv-SE"/>
              </w:rPr>
              <w:t>9</w:t>
            </w:r>
            <w:r>
              <w:rPr>
                <w:rFonts w:ascii="Calibri" w:hAnsi="Calibri" w:cs="Arial"/>
                <w:sz w:val="20"/>
                <w:lang w:val="sv-SE"/>
              </w:rPr>
              <w:t>-4</w:t>
            </w:r>
            <w:r w:rsidR="00531F05">
              <w:rPr>
                <w:rFonts w:ascii="Calibri" w:hAnsi="Calibri" w:cs="Arial"/>
                <w:sz w:val="20"/>
                <w:lang w:val="sv-SE"/>
              </w:rPr>
              <w:t>3</w:t>
            </w:r>
          </w:p>
        </w:tc>
        <w:tc>
          <w:tcPr>
            <w:tcW w:w="1101" w:type="dxa"/>
            <w:tcBorders>
              <w:left w:val="single" w:sz="4" w:space="0" w:color="auto"/>
              <w:right w:val="single" w:sz="4" w:space="0" w:color="auto"/>
            </w:tcBorders>
            <w:shd w:val="clear" w:color="auto" w:fill="auto"/>
            <w:vAlign w:val="center"/>
          </w:tcPr>
          <w:p w14:paraId="72059265" w14:textId="4A0627AE" w:rsidR="00930B33" w:rsidRDefault="00930B33" w:rsidP="00930B33">
            <w:pPr>
              <w:spacing w:after="0"/>
              <w:jc w:val="center"/>
              <w:rPr>
                <w:rFonts w:ascii="Calibri" w:hAnsi="Calibri" w:cs="Arial"/>
                <w:sz w:val="20"/>
                <w:lang w:val="sv-SE"/>
              </w:rPr>
            </w:pPr>
            <w:r>
              <w:rPr>
                <w:rFonts w:ascii="Calibri" w:hAnsi="Calibri" w:cs="Arial"/>
                <w:sz w:val="20"/>
                <w:lang w:val="sv-SE"/>
              </w:rPr>
              <w:t>6</w:t>
            </w:r>
            <w:r w:rsidR="00A6094B">
              <w:rPr>
                <w:rFonts w:ascii="Calibri" w:hAnsi="Calibri" w:cs="Arial"/>
                <w:sz w:val="20"/>
                <w:lang w:val="sv-SE"/>
              </w:rPr>
              <w:t>1</w:t>
            </w:r>
            <w:r>
              <w:rPr>
                <w:rFonts w:ascii="Calibri" w:hAnsi="Calibri" w:cs="Arial"/>
                <w:sz w:val="20"/>
                <w:lang w:val="sv-SE"/>
              </w:rPr>
              <w:t>-6</w:t>
            </w:r>
            <w:r w:rsidR="00A6094B">
              <w:rPr>
                <w:rFonts w:ascii="Calibri" w:hAnsi="Calibri" w:cs="Arial"/>
                <w:sz w:val="20"/>
                <w:lang w:val="sv-SE"/>
              </w:rPr>
              <w:t>6</w:t>
            </w:r>
          </w:p>
        </w:tc>
        <w:tc>
          <w:tcPr>
            <w:tcW w:w="1101" w:type="dxa"/>
            <w:tcBorders>
              <w:left w:val="single" w:sz="4" w:space="0" w:color="auto"/>
              <w:right w:val="single" w:sz="4" w:space="0" w:color="auto"/>
            </w:tcBorders>
            <w:shd w:val="clear" w:color="auto" w:fill="auto"/>
            <w:vAlign w:val="center"/>
          </w:tcPr>
          <w:p w14:paraId="17EAA39F" w14:textId="536C04EB" w:rsidR="00930B33" w:rsidRDefault="00930B33" w:rsidP="00930B33">
            <w:pPr>
              <w:spacing w:after="0"/>
              <w:jc w:val="center"/>
              <w:rPr>
                <w:rFonts w:ascii="Calibri" w:hAnsi="Calibri" w:cs="Arial"/>
                <w:sz w:val="20"/>
                <w:lang w:val="sv-SE"/>
              </w:rPr>
            </w:pPr>
            <w:r>
              <w:rPr>
                <w:rFonts w:ascii="Calibri" w:hAnsi="Calibri" w:cs="Arial"/>
                <w:sz w:val="20"/>
                <w:lang w:val="sv-SE"/>
              </w:rPr>
              <w:t>36-40</w:t>
            </w:r>
          </w:p>
        </w:tc>
        <w:tc>
          <w:tcPr>
            <w:tcW w:w="1102" w:type="dxa"/>
            <w:tcBorders>
              <w:left w:val="single" w:sz="4" w:space="0" w:color="auto"/>
              <w:right w:val="single" w:sz="4" w:space="0" w:color="auto"/>
            </w:tcBorders>
            <w:shd w:val="clear" w:color="auto" w:fill="auto"/>
            <w:vAlign w:val="center"/>
          </w:tcPr>
          <w:p w14:paraId="1F93CEA6" w14:textId="777777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63-68</w:t>
            </w:r>
          </w:p>
        </w:tc>
      </w:tr>
      <w:tr w:rsidR="00930B33" w:rsidRPr="00EF2710" w14:paraId="6E9D5C93" w14:textId="77777777" w:rsidTr="00E73EA5">
        <w:trPr>
          <w:trHeight w:val="255"/>
          <w:jc w:val="center"/>
        </w:trPr>
        <w:tc>
          <w:tcPr>
            <w:tcW w:w="943" w:type="dxa"/>
            <w:vMerge/>
            <w:tcBorders>
              <w:left w:val="single" w:sz="4" w:space="0" w:color="auto"/>
              <w:right w:val="single" w:sz="4" w:space="0" w:color="auto"/>
            </w:tcBorders>
            <w:shd w:val="clear" w:color="auto" w:fill="auto"/>
            <w:vAlign w:val="center"/>
          </w:tcPr>
          <w:p w14:paraId="2B0789D3" w14:textId="77777777" w:rsidR="00930B33" w:rsidRPr="00EF2710" w:rsidRDefault="00930B33" w:rsidP="00930B33">
            <w:pPr>
              <w:spacing w:after="0"/>
              <w:jc w:val="center"/>
              <w:rPr>
                <w:rFonts w:ascii="Calibri" w:hAnsi="Calibri" w:cs="Arial"/>
                <w:sz w:val="20"/>
                <w:lang w:val="sv-S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B3F3732" w14:textId="77777777" w:rsidR="00930B33" w:rsidRDefault="00930B33" w:rsidP="00930B33">
            <w:pPr>
              <w:spacing w:after="0"/>
              <w:jc w:val="center"/>
              <w:rPr>
                <w:rFonts w:ascii="Calibri" w:hAnsi="Calibri" w:cs="Arial"/>
                <w:sz w:val="20"/>
                <w:lang w:val="sv-SE"/>
              </w:rPr>
            </w:pPr>
            <w:r>
              <w:rPr>
                <w:rFonts w:ascii="Calibri" w:hAnsi="Calibri" w:cs="Arial"/>
                <w:sz w:val="20"/>
                <w:lang w:val="sv-SE"/>
              </w:rPr>
              <w:t>50</w:t>
            </w:r>
          </w:p>
        </w:tc>
        <w:tc>
          <w:tcPr>
            <w:tcW w:w="858" w:type="dxa"/>
            <w:vMerge/>
            <w:tcBorders>
              <w:left w:val="single" w:sz="4" w:space="0" w:color="auto"/>
              <w:bottom w:val="single" w:sz="4" w:space="0" w:color="auto"/>
              <w:right w:val="single" w:sz="4" w:space="0" w:color="auto"/>
            </w:tcBorders>
            <w:shd w:val="clear" w:color="auto" w:fill="auto"/>
            <w:vAlign w:val="center"/>
          </w:tcPr>
          <w:p w14:paraId="23356750" w14:textId="77777777" w:rsidR="00930B33" w:rsidRDefault="00930B33" w:rsidP="00930B33">
            <w:pPr>
              <w:spacing w:after="0"/>
              <w:jc w:val="center"/>
              <w:rPr>
                <w:rFonts w:ascii="Calibri" w:hAnsi="Calibri" w:cs="Arial"/>
                <w:sz w:val="20"/>
                <w:lang w:val="sv-SE"/>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2C91BFD" w14:textId="77777777" w:rsidR="00930B33" w:rsidRDefault="00930B33" w:rsidP="00930B33">
            <w:pPr>
              <w:spacing w:after="0"/>
              <w:jc w:val="center"/>
              <w:rPr>
                <w:rFonts w:ascii="Calibri" w:hAnsi="Calibri" w:cs="Arial"/>
                <w:sz w:val="20"/>
                <w:lang w:val="sv-SE"/>
              </w:rPr>
            </w:pPr>
            <w:r>
              <w:rPr>
                <w:rFonts w:ascii="Calibri" w:hAnsi="Calibri" w:cs="Arial"/>
                <w:sz w:val="20"/>
                <w:lang w:val="sv-SE"/>
              </w:rPr>
              <w:t>36-40</w:t>
            </w:r>
          </w:p>
        </w:tc>
        <w:tc>
          <w:tcPr>
            <w:tcW w:w="1101" w:type="dxa"/>
            <w:tcBorders>
              <w:left w:val="single" w:sz="4" w:space="0" w:color="auto"/>
              <w:right w:val="single" w:sz="4" w:space="0" w:color="auto"/>
            </w:tcBorders>
            <w:shd w:val="clear" w:color="auto" w:fill="auto"/>
            <w:vAlign w:val="center"/>
          </w:tcPr>
          <w:p w14:paraId="08438E08" w14:textId="77777777" w:rsidR="00930B33" w:rsidRDefault="00930B33" w:rsidP="00930B33">
            <w:pPr>
              <w:spacing w:after="0"/>
              <w:jc w:val="center"/>
              <w:rPr>
                <w:rFonts w:ascii="Calibri" w:hAnsi="Calibri" w:cs="Arial"/>
                <w:sz w:val="20"/>
                <w:lang w:val="sv-SE"/>
              </w:rPr>
            </w:pPr>
            <w:r>
              <w:rPr>
                <w:rFonts w:ascii="Calibri" w:hAnsi="Calibri" w:cs="Arial"/>
                <w:sz w:val="20"/>
                <w:lang w:val="sv-SE"/>
              </w:rPr>
              <w:t>65-70</w:t>
            </w:r>
          </w:p>
        </w:tc>
        <w:tc>
          <w:tcPr>
            <w:tcW w:w="1101" w:type="dxa"/>
            <w:tcBorders>
              <w:left w:val="single" w:sz="4" w:space="0" w:color="auto"/>
              <w:right w:val="single" w:sz="4" w:space="0" w:color="auto"/>
            </w:tcBorders>
            <w:shd w:val="clear" w:color="auto" w:fill="auto"/>
            <w:vAlign w:val="center"/>
          </w:tcPr>
          <w:p w14:paraId="53DEE942" w14:textId="3A502A47" w:rsidR="00930B33" w:rsidRDefault="00930B33" w:rsidP="00930B33">
            <w:pPr>
              <w:spacing w:after="0"/>
              <w:jc w:val="center"/>
              <w:rPr>
                <w:rFonts w:ascii="Calibri" w:hAnsi="Calibri" w:cs="Arial"/>
                <w:sz w:val="20"/>
                <w:lang w:val="sv-SE"/>
              </w:rPr>
            </w:pPr>
            <w:r>
              <w:rPr>
                <w:rFonts w:ascii="Calibri" w:hAnsi="Calibri" w:cs="Arial"/>
                <w:sz w:val="20"/>
                <w:lang w:val="sv-SE"/>
              </w:rPr>
              <w:t>3</w:t>
            </w:r>
            <w:r w:rsidR="00A6094B">
              <w:rPr>
                <w:rFonts w:ascii="Calibri" w:hAnsi="Calibri" w:cs="Arial"/>
                <w:sz w:val="20"/>
                <w:lang w:val="sv-SE"/>
              </w:rPr>
              <w:t>9</w:t>
            </w:r>
            <w:r>
              <w:rPr>
                <w:rFonts w:ascii="Calibri" w:hAnsi="Calibri" w:cs="Arial"/>
                <w:sz w:val="20"/>
                <w:lang w:val="sv-SE"/>
              </w:rPr>
              <w:t>-4</w:t>
            </w:r>
            <w:r w:rsidR="00A6094B">
              <w:rPr>
                <w:rFonts w:ascii="Calibri" w:hAnsi="Calibri" w:cs="Arial"/>
                <w:sz w:val="20"/>
                <w:lang w:val="sv-SE"/>
              </w:rPr>
              <w:t>3</w:t>
            </w:r>
          </w:p>
        </w:tc>
        <w:tc>
          <w:tcPr>
            <w:tcW w:w="1101" w:type="dxa"/>
            <w:tcBorders>
              <w:left w:val="single" w:sz="4" w:space="0" w:color="auto"/>
              <w:right w:val="single" w:sz="4" w:space="0" w:color="auto"/>
            </w:tcBorders>
            <w:shd w:val="clear" w:color="auto" w:fill="auto"/>
            <w:vAlign w:val="center"/>
          </w:tcPr>
          <w:p w14:paraId="2C4FAE83" w14:textId="135D0BB1" w:rsidR="00930B33" w:rsidRDefault="00930B33" w:rsidP="00930B33">
            <w:pPr>
              <w:spacing w:after="0"/>
              <w:jc w:val="center"/>
              <w:rPr>
                <w:rFonts w:ascii="Calibri" w:hAnsi="Calibri" w:cs="Arial"/>
                <w:sz w:val="20"/>
                <w:lang w:val="sv-SE"/>
              </w:rPr>
            </w:pPr>
            <w:r>
              <w:rPr>
                <w:rFonts w:ascii="Calibri" w:hAnsi="Calibri" w:cs="Arial"/>
                <w:sz w:val="20"/>
                <w:lang w:val="sv-SE"/>
              </w:rPr>
              <w:t>6</w:t>
            </w:r>
            <w:r w:rsidR="00A6094B">
              <w:rPr>
                <w:rFonts w:ascii="Calibri" w:hAnsi="Calibri" w:cs="Arial"/>
                <w:sz w:val="20"/>
                <w:lang w:val="sv-SE"/>
              </w:rPr>
              <w:t>1</w:t>
            </w:r>
            <w:r>
              <w:rPr>
                <w:rFonts w:ascii="Calibri" w:hAnsi="Calibri" w:cs="Arial"/>
                <w:sz w:val="20"/>
                <w:lang w:val="sv-SE"/>
              </w:rPr>
              <w:t>-6</w:t>
            </w:r>
            <w:r w:rsidR="00A6094B">
              <w:rPr>
                <w:rFonts w:ascii="Calibri" w:hAnsi="Calibri" w:cs="Arial"/>
                <w:sz w:val="20"/>
                <w:lang w:val="sv-SE"/>
              </w:rPr>
              <w:t>6</w:t>
            </w:r>
          </w:p>
        </w:tc>
        <w:tc>
          <w:tcPr>
            <w:tcW w:w="1101" w:type="dxa"/>
            <w:tcBorders>
              <w:left w:val="single" w:sz="4" w:space="0" w:color="auto"/>
              <w:right w:val="single" w:sz="4" w:space="0" w:color="auto"/>
            </w:tcBorders>
            <w:shd w:val="clear" w:color="auto" w:fill="auto"/>
            <w:vAlign w:val="center"/>
          </w:tcPr>
          <w:p w14:paraId="22AC8992" w14:textId="7859E914" w:rsidR="00930B33" w:rsidRDefault="00930B33" w:rsidP="00930B33">
            <w:pPr>
              <w:spacing w:after="0"/>
              <w:jc w:val="center"/>
              <w:rPr>
                <w:rFonts w:ascii="Calibri" w:hAnsi="Calibri" w:cs="Arial"/>
                <w:sz w:val="20"/>
                <w:lang w:val="sv-SE"/>
              </w:rPr>
            </w:pPr>
            <w:r>
              <w:rPr>
                <w:rFonts w:ascii="Calibri" w:hAnsi="Calibri" w:cs="Arial"/>
                <w:sz w:val="20"/>
                <w:lang w:val="sv-SE"/>
              </w:rPr>
              <w:t>36-40</w:t>
            </w:r>
          </w:p>
        </w:tc>
        <w:tc>
          <w:tcPr>
            <w:tcW w:w="1102" w:type="dxa"/>
            <w:tcBorders>
              <w:left w:val="single" w:sz="4" w:space="0" w:color="auto"/>
              <w:right w:val="single" w:sz="4" w:space="0" w:color="auto"/>
            </w:tcBorders>
            <w:shd w:val="clear" w:color="auto" w:fill="auto"/>
            <w:vAlign w:val="center"/>
          </w:tcPr>
          <w:p w14:paraId="50267683" w14:textId="77777777" w:rsidR="00930B33" w:rsidRPr="00EF2710" w:rsidRDefault="00930B33" w:rsidP="00930B33">
            <w:pPr>
              <w:spacing w:after="0"/>
              <w:jc w:val="center"/>
              <w:rPr>
                <w:rFonts w:ascii="Calibri" w:hAnsi="Calibri" w:cs="Arial"/>
                <w:sz w:val="20"/>
                <w:lang w:val="sv-SE"/>
              </w:rPr>
            </w:pPr>
            <w:r>
              <w:rPr>
                <w:rFonts w:ascii="Calibri" w:hAnsi="Calibri" w:cs="Arial"/>
                <w:sz w:val="20"/>
                <w:lang w:val="sv-SE"/>
              </w:rPr>
              <w:t>63-68</w:t>
            </w:r>
          </w:p>
        </w:tc>
      </w:tr>
    </w:tbl>
    <w:p w14:paraId="08E8E901" w14:textId="77777777" w:rsidR="00A951B2" w:rsidRPr="00764B3A" w:rsidRDefault="00A951B2" w:rsidP="00BC5F19">
      <w:pPr>
        <w:pStyle w:val="Header"/>
        <w:jc w:val="both"/>
        <w:rPr>
          <w:rFonts w:ascii="Calibri" w:hAnsi="Calibri" w:cs="Calibri"/>
        </w:rPr>
      </w:pPr>
    </w:p>
    <w:p w14:paraId="6A3F81E9" w14:textId="77777777" w:rsidR="00A951B2" w:rsidRPr="00764B3A" w:rsidRDefault="00A951B2" w:rsidP="00BC5F19">
      <w:pPr>
        <w:pStyle w:val="1STNormal"/>
        <w:numPr>
          <w:ilvl w:val="0"/>
          <w:numId w:val="10"/>
        </w:numPr>
        <w:pBdr>
          <w:top w:val="none" w:sz="0" w:space="0" w:color="auto"/>
          <w:left w:val="none" w:sz="0" w:space="0" w:color="auto"/>
          <w:bottom w:val="none" w:sz="0" w:space="0" w:color="auto"/>
          <w:right w:val="none" w:sz="0" w:space="0" w:color="auto"/>
        </w:pBdr>
        <w:spacing w:before="0" w:after="0"/>
        <w:jc w:val="both"/>
        <w:rPr>
          <w:rFonts w:ascii="Calibri" w:hAnsi="Calibri" w:cs="Calibri"/>
          <w:b/>
        </w:rPr>
      </w:pPr>
      <w:r w:rsidRPr="00764B3A">
        <w:rPr>
          <w:rFonts w:ascii="Calibri" w:hAnsi="Calibri" w:cs="Calibri"/>
          <w:b/>
        </w:rPr>
        <w:t>GARSĄ IZOLIUOJANČIŲ MINERALINĖS VATOS PLOKŠČIŲ CHARAKTERISTIKOS</w:t>
      </w:r>
    </w:p>
    <w:p w14:paraId="2167AA7A" w14:textId="0D05CE4F"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Judriųjų grindų konstrukcijų garso izoliacijai naudojamos mineralinės vatos plokštės turi tenkinti standarte EN 13162 „Statybiniai termoizoliaciniai gaminiai. Gamykliniai mineralinės vatos (MW) gaminiai. Techniniai reikalavimai“ išdėstytus reikalavimus ir gamintojo deklaruojamų rodiklių vertes pateiktas nacionaliniame techni</w:t>
      </w:r>
      <w:r w:rsidR="00B2636E">
        <w:rPr>
          <w:rFonts w:ascii="Calibri" w:hAnsi="Calibri" w:cs="Calibri"/>
        </w:rPr>
        <w:t>niame įvertinime NTĮ-01-020:20</w:t>
      </w:r>
      <w:r w:rsidR="007C2363">
        <w:rPr>
          <w:rFonts w:ascii="Calibri" w:hAnsi="Calibri" w:cs="Calibri"/>
        </w:rPr>
        <w:t>24</w:t>
      </w:r>
      <w:r w:rsidRPr="00764B3A">
        <w:rPr>
          <w:rFonts w:ascii="Calibri" w:hAnsi="Calibri" w:cs="Calibri"/>
        </w:rPr>
        <w:t xml:space="preserve"> „Garsą izoliuojančios gelžbetoninių perdangų konstrukcijos su ISOVER mineralinės vatos plokštėmis“</w:t>
      </w:r>
      <w:r>
        <w:rPr>
          <w:rFonts w:ascii="Calibri" w:hAnsi="Calibri" w:cs="Calibri"/>
        </w:rPr>
        <w:t xml:space="preserve">. </w:t>
      </w:r>
    </w:p>
    <w:p w14:paraId="2103D434" w14:textId="77777777" w:rsidR="00A951B2" w:rsidRPr="00B2636E" w:rsidRDefault="00A951B2" w:rsidP="00BC5F19">
      <w:pPr>
        <w:numPr>
          <w:ilvl w:val="1"/>
          <w:numId w:val="10"/>
        </w:numPr>
        <w:spacing w:after="0" w:line="240" w:lineRule="auto"/>
        <w:jc w:val="both"/>
        <w:rPr>
          <w:rFonts w:ascii="Calibri" w:hAnsi="Calibri" w:cs="Calibri"/>
        </w:rPr>
      </w:pPr>
      <w:r w:rsidRPr="00764B3A">
        <w:rPr>
          <w:rFonts w:ascii="Calibri" w:hAnsi="Calibri" w:cs="Calibri"/>
        </w:rPr>
        <w:t xml:space="preserve">Garsą izoliuojančių mineralinės vatos plokščių charakteristikos pateiktos </w:t>
      </w:r>
      <w:r>
        <w:rPr>
          <w:rFonts w:ascii="Calibri" w:hAnsi="Calibri" w:cs="Calibri"/>
        </w:rPr>
        <w:t>lentelėje L3</w:t>
      </w:r>
      <w:r w:rsidRPr="000E09C0">
        <w:rPr>
          <w:rFonts w:ascii="Calibri" w:hAnsi="Calibri" w:cs="Calibri"/>
        </w:rPr>
        <w:t>:</w:t>
      </w:r>
    </w:p>
    <w:p w14:paraId="2AF0861D" w14:textId="77777777" w:rsidR="00A951B2" w:rsidRPr="00181D14" w:rsidRDefault="00A951B2" w:rsidP="003B19E0">
      <w:pPr>
        <w:spacing w:after="0"/>
        <w:jc w:val="right"/>
        <w:rPr>
          <w:rFonts w:ascii="Calibri" w:hAnsi="Calibri" w:cs="Calibri"/>
          <w:i/>
          <w:sz w:val="20"/>
          <w:szCs w:val="20"/>
        </w:rPr>
      </w:pPr>
      <w:r w:rsidRPr="00181D14">
        <w:rPr>
          <w:rFonts w:ascii="Calibri" w:hAnsi="Calibri" w:cs="Calibri"/>
          <w:i/>
          <w:sz w:val="20"/>
          <w:szCs w:val="20"/>
        </w:rPr>
        <w:t>Lentelė L3</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1275"/>
        <w:gridCol w:w="1329"/>
        <w:gridCol w:w="1813"/>
        <w:gridCol w:w="1536"/>
        <w:gridCol w:w="1202"/>
      </w:tblGrid>
      <w:tr w:rsidR="00A951B2" w:rsidRPr="00764B3A" w14:paraId="42737C29" w14:textId="77777777" w:rsidTr="003505AB">
        <w:tc>
          <w:tcPr>
            <w:tcW w:w="1951" w:type="dxa"/>
            <w:shd w:val="clear" w:color="auto" w:fill="auto"/>
            <w:vAlign w:val="center"/>
          </w:tcPr>
          <w:p w14:paraId="6855DB5A" w14:textId="77777777" w:rsidR="00A951B2" w:rsidRPr="00764B3A" w:rsidRDefault="00A951B2" w:rsidP="00BC5F19">
            <w:pPr>
              <w:pStyle w:val="Header"/>
              <w:jc w:val="both"/>
              <w:rPr>
                <w:rFonts w:ascii="Calibri" w:hAnsi="Calibri" w:cs="Calibri"/>
                <w:sz w:val="20"/>
              </w:rPr>
            </w:pPr>
            <w:r w:rsidRPr="00764B3A">
              <w:rPr>
                <w:rFonts w:ascii="Calibri" w:hAnsi="Calibri" w:cs="Calibri"/>
                <w:sz w:val="20"/>
              </w:rPr>
              <w:t>Garsą izoliuojanti medžiaga</w:t>
            </w:r>
          </w:p>
        </w:tc>
        <w:tc>
          <w:tcPr>
            <w:tcW w:w="851" w:type="dxa"/>
            <w:shd w:val="clear" w:color="auto" w:fill="auto"/>
            <w:vAlign w:val="center"/>
          </w:tcPr>
          <w:p w14:paraId="40CCFD36" w14:textId="77777777" w:rsidR="00A951B2" w:rsidRPr="00764B3A" w:rsidRDefault="00A951B2" w:rsidP="00BC5F19">
            <w:pPr>
              <w:pStyle w:val="Header"/>
              <w:jc w:val="both"/>
              <w:rPr>
                <w:rFonts w:ascii="Calibri" w:hAnsi="Calibri" w:cs="Calibri"/>
                <w:sz w:val="20"/>
              </w:rPr>
            </w:pPr>
            <w:r w:rsidRPr="00764B3A">
              <w:rPr>
                <w:rFonts w:ascii="Calibri" w:hAnsi="Calibri" w:cs="Calibri"/>
                <w:sz w:val="20"/>
              </w:rPr>
              <w:t>Storis,</w:t>
            </w:r>
          </w:p>
          <w:p w14:paraId="131AE194" w14:textId="77777777" w:rsidR="00A951B2" w:rsidRPr="00764B3A" w:rsidRDefault="00A951B2" w:rsidP="00BC5F19">
            <w:pPr>
              <w:pStyle w:val="Header"/>
              <w:jc w:val="both"/>
              <w:rPr>
                <w:rFonts w:ascii="Calibri" w:hAnsi="Calibri" w:cs="Calibri"/>
                <w:sz w:val="20"/>
              </w:rPr>
            </w:pPr>
            <w:r w:rsidRPr="00764B3A">
              <w:rPr>
                <w:rFonts w:ascii="Calibri" w:hAnsi="Calibri" w:cs="Calibri"/>
                <w:sz w:val="20"/>
              </w:rPr>
              <w:t>mm</w:t>
            </w:r>
          </w:p>
        </w:tc>
        <w:tc>
          <w:tcPr>
            <w:tcW w:w="1275" w:type="dxa"/>
            <w:shd w:val="clear" w:color="auto" w:fill="auto"/>
            <w:vAlign w:val="center"/>
          </w:tcPr>
          <w:p w14:paraId="094C9FE5" w14:textId="77777777" w:rsidR="00A951B2" w:rsidRPr="00764B3A" w:rsidRDefault="00A951B2" w:rsidP="00BC5F19">
            <w:pPr>
              <w:pStyle w:val="Header"/>
              <w:jc w:val="both"/>
              <w:rPr>
                <w:rFonts w:ascii="Calibri" w:hAnsi="Calibri" w:cs="Calibri"/>
                <w:sz w:val="20"/>
              </w:rPr>
            </w:pPr>
            <w:r w:rsidRPr="00764B3A">
              <w:rPr>
                <w:rFonts w:ascii="Calibri" w:hAnsi="Calibri" w:cs="Calibri"/>
                <w:sz w:val="20"/>
              </w:rPr>
              <w:t>Dinaminis standumas s‘, MN/m</w:t>
            </w:r>
            <w:r w:rsidRPr="00764B3A">
              <w:rPr>
                <w:rFonts w:ascii="Calibri" w:hAnsi="Calibri" w:cs="Calibri"/>
                <w:sz w:val="20"/>
                <w:vertAlign w:val="superscript"/>
              </w:rPr>
              <w:t>3</w:t>
            </w:r>
          </w:p>
        </w:tc>
        <w:tc>
          <w:tcPr>
            <w:tcW w:w="1329" w:type="dxa"/>
            <w:shd w:val="clear" w:color="auto" w:fill="auto"/>
            <w:vAlign w:val="center"/>
          </w:tcPr>
          <w:p w14:paraId="5B9EBF59" w14:textId="77777777" w:rsidR="00A951B2" w:rsidRPr="00764B3A" w:rsidRDefault="00A951B2" w:rsidP="00BC5F19">
            <w:pPr>
              <w:pStyle w:val="Header"/>
              <w:jc w:val="both"/>
              <w:rPr>
                <w:rFonts w:ascii="Calibri" w:hAnsi="Calibri" w:cs="Calibri"/>
                <w:sz w:val="20"/>
              </w:rPr>
            </w:pPr>
            <w:r w:rsidRPr="00764B3A">
              <w:rPr>
                <w:rFonts w:ascii="Calibri" w:hAnsi="Calibri" w:cs="Calibri"/>
                <w:sz w:val="20"/>
              </w:rPr>
              <w:t>Gniuždomasis įtempis σ</w:t>
            </w:r>
            <w:r w:rsidRPr="00764B3A">
              <w:rPr>
                <w:rFonts w:ascii="Calibri" w:hAnsi="Calibri" w:cs="Calibri"/>
                <w:sz w:val="20"/>
                <w:vertAlign w:val="subscript"/>
              </w:rPr>
              <w:t>10</w:t>
            </w:r>
            <w:r w:rsidRPr="00764B3A">
              <w:rPr>
                <w:rFonts w:ascii="Calibri" w:hAnsi="Calibri" w:cs="Calibri"/>
                <w:sz w:val="20"/>
              </w:rPr>
              <w:t>, kPa</w:t>
            </w:r>
          </w:p>
        </w:tc>
        <w:tc>
          <w:tcPr>
            <w:tcW w:w="1813" w:type="dxa"/>
            <w:shd w:val="clear" w:color="auto" w:fill="auto"/>
            <w:vAlign w:val="center"/>
          </w:tcPr>
          <w:p w14:paraId="741FAB25" w14:textId="77777777" w:rsidR="00A951B2" w:rsidRPr="00764B3A" w:rsidRDefault="00A951B2" w:rsidP="00BC5F19">
            <w:pPr>
              <w:pStyle w:val="Header"/>
              <w:jc w:val="both"/>
              <w:rPr>
                <w:rFonts w:ascii="Calibri" w:hAnsi="Calibri" w:cs="Calibri"/>
                <w:sz w:val="20"/>
              </w:rPr>
            </w:pPr>
            <w:r w:rsidRPr="00764B3A">
              <w:rPr>
                <w:rFonts w:ascii="Calibri" w:hAnsi="Calibri" w:cs="Calibri"/>
                <w:sz w:val="20"/>
              </w:rPr>
              <w:t>Didžiausia leistina apkrova ant betono/skiedinio sluoksnio, kPa</w:t>
            </w:r>
          </w:p>
        </w:tc>
        <w:tc>
          <w:tcPr>
            <w:tcW w:w="1536" w:type="dxa"/>
            <w:shd w:val="clear" w:color="auto" w:fill="auto"/>
            <w:vAlign w:val="center"/>
          </w:tcPr>
          <w:p w14:paraId="7DF5A745" w14:textId="77777777" w:rsidR="00A951B2" w:rsidRPr="00764B3A" w:rsidRDefault="00A951B2" w:rsidP="00BC5F19">
            <w:pPr>
              <w:pStyle w:val="Header"/>
              <w:jc w:val="both"/>
              <w:rPr>
                <w:rFonts w:ascii="Calibri" w:hAnsi="Calibri" w:cs="Calibri"/>
                <w:sz w:val="20"/>
              </w:rPr>
            </w:pPr>
            <w:r w:rsidRPr="00764B3A">
              <w:rPr>
                <w:rFonts w:ascii="Calibri" w:hAnsi="Calibri" w:cs="Calibri"/>
                <w:sz w:val="20"/>
              </w:rPr>
              <w:t>Deklaruojamas šilumos laidumo koeficientas λ</w:t>
            </w:r>
            <w:r w:rsidRPr="00764B3A">
              <w:rPr>
                <w:rFonts w:ascii="Calibri" w:hAnsi="Calibri" w:cs="Calibri"/>
                <w:sz w:val="20"/>
                <w:vertAlign w:val="subscript"/>
              </w:rPr>
              <w:t>D</w:t>
            </w:r>
            <w:r w:rsidRPr="00764B3A">
              <w:rPr>
                <w:rFonts w:ascii="Calibri" w:hAnsi="Calibri" w:cs="Calibri"/>
                <w:sz w:val="20"/>
              </w:rPr>
              <w:t>, W/mK</w:t>
            </w:r>
          </w:p>
        </w:tc>
        <w:tc>
          <w:tcPr>
            <w:tcW w:w="1202" w:type="dxa"/>
            <w:shd w:val="clear" w:color="auto" w:fill="auto"/>
            <w:vAlign w:val="center"/>
          </w:tcPr>
          <w:p w14:paraId="541EF395" w14:textId="77777777" w:rsidR="00A951B2" w:rsidRPr="00764B3A" w:rsidRDefault="00A951B2" w:rsidP="00BC5F19">
            <w:pPr>
              <w:pStyle w:val="Header"/>
              <w:jc w:val="both"/>
              <w:rPr>
                <w:rFonts w:ascii="Calibri" w:hAnsi="Calibri" w:cs="Calibri"/>
                <w:sz w:val="20"/>
              </w:rPr>
            </w:pPr>
            <w:r w:rsidRPr="00764B3A">
              <w:rPr>
                <w:rFonts w:ascii="Calibri" w:hAnsi="Calibri" w:cs="Calibri"/>
                <w:sz w:val="20"/>
              </w:rPr>
              <w:t>Degumo klasė</w:t>
            </w:r>
          </w:p>
        </w:tc>
      </w:tr>
      <w:tr w:rsidR="00A951B2" w:rsidRPr="009F5681" w14:paraId="7866C0FB" w14:textId="77777777" w:rsidTr="003505AB">
        <w:tc>
          <w:tcPr>
            <w:tcW w:w="1951" w:type="dxa"/>
            <w:shd w:val="clear" w:color="auto" w:fill="auto"/>
          </w:tcPr>
          <w:p w14:paraId="636F1359" w14:textId="77777777" w:rsidR="00A951B2" w:rsidRPr="009F5681" w:rsidRDefault="00A951B2" w:rsidP="00BC5F19">
            <w:pPr>
              <w:pStyle w:val="Header"/>
              <w:jc w:val="both"/>
              <w:rPr>
                <w:rFonts w:ascii="Calibri" w:hAnsi="Calibri" w:cs="Calibri"/>
                <w:sz w:val="20"/>
              </w:rPr>
            </w:pPr>
          </w:p>
        </w:tc>
        <w:tc>
          <w:tcPr>
            <w:tcW w:w="851" w:type="dxa"/>
            <w:shd w:val="clear" w:color="auto" w:fill="auto"/>
          </w:tcPr>
          <w:p w14:paraId="37463119" w14:textId="77777777" w:rsidR="00A951B2" w:rsidRPr="009F5681" w:rsidRDefault="00A951B2" w:rsidP="00BC5F19">
            <w:pPr>
              <w:pStyle w:val="Header"/>
              <w:jc w:val="both"/>
              <w:rPr>
                <w:rFonts w:ascii="Calibri" w:hAnsi="Calibri" w:cs="Calibri"/>
                <w:sz w:val="20"/>
              </w:rPr>
            </w:pPr>
          </w:p>
        </w:tc>
        <w:tc>
          <w:tcPr>
            <w:tcW w:w="1275" w:type="dxa"/>
            <w:shd w:val="clear" w:color="auto" w:fill="auto"/>
          </w:tcPr>
          <w:p w14:paraId="1AD657E9" w14:textId="77777777" w:rsidR="00A951B2" w:rsidRPr="009F5681" w:rsidRDefault="00A951B2" w:rsidP="00BC5F19">
            <w:pPr>
              <w:pStyle w:val="Header"/>
              <w:jc w:val="both"/>
              <w:rPr>
                <w:rFonts w:ascii="Calibri" w:hAnsi="Calibri" w:cs="Calibri"/>
                <w:sz w:val="20"/>
              </w:rPr>
            </w:pPr>
            <w:r w:rsidRPr="009F5681">
              <w:rPr>
                <w:rFonts w:ascii="Calibri" w:hAnsi="Calibri" w:cs="Calibri"/>
                <w:sz w:val="20"/>
              </w:rPr>
              <w:t>EN 29052-1</w:t>
            </w:r>
          </w:p>
        </w:tc>
        <w:tc>
          <w:tcPr>
            <w:tcW w:w="1329" w:type="dxa"/>
            <w:shd w:val="clear" w:color="auto" w:fill="auto"/>
          </w:tcPr>
          <w:p w14:paraId="2BF75897" w14:textId="77777777" w:rsidR="00A951B2" w:rsidRPr="009F5681" w:rsidRDefault="00A951B2" w:rsidP="00BC5F19">
            <w:pPr>
              <w:pStyle w:val="Header"/>
              <w:jc w:val="both"/>
              <w:rPr>
                <w:rFonts w:ascii="Calibri" w:hAnsi="Calibri" w:cs="Calibri"/>
                <w:sz w:val="20"/>
              </w:rPr>
            </w:pPr>
            <w:r w:rsidRPr="009F5681">
              <w:rPr>
                <w:rFonts w:ascii="Calibri" w:hAnsi="Calibri" w:cs="Calibri"/>
                <w:sz w:val="20"/>
              </w:rPr>
              <w:t>EN 826</w:t>
            </w:r>
          </w:p>
        </w:tc>
        <w:tc>
          <w:tcPr>
            <w:tcW w:w="1813" w:type="dxa"/>
            <w:shd w:val="clear" w:color="auto" w:fill="auto"/>
          </w:tcPr>
          <w:p w14:paraId="4B0E759E" w14:textId="77777777" w:rsidR="00A951B2" w:rsidRPr="009F5681" w:rsidRDefault="00A951B2" w:rsidP="00BC5F19">
            <w:pPr>
              <w:pStyle w:val="Header"/>
              <w:jc w:val="both"/>
              <w:rPr>
                <w:rFonts w:ascii="Calibri" w:hAnsi="Calibri" w:cs="Calibri"/>
                <w:sz w:val="20"/>
              </w:rPr>
            </w:pPr>
            <w:r w:rsidRPr="009F5681">
              <w:rPr>
                <w:rFonts w:ascii="Calibri" w:hAnsi="Calibri" w:cs="Calibri"/>
                <w:sz w:val="20"/>
              </w:rPr>
              <w:t>EN 12431</w:t>
            </w:r>
          </w:p>
        </w:tc>
        <w:tc>
          <w:tcPr>
            <w:tcW w:w="1536" w:type="dxa"/>
            <w:shd w:val="clear" w:color="auto" w:fill="auto"/>
          </w:tcPr>
          <w:p w14:paraId="04C3034C" w14:textId="77777777" w:rsidR="00A951B2" w:rsidRPr="009F5681" w:rsidRDefault="00A951B2" w:rsidP="00BC5F19">
            <w:pPr>
              <w:pStyle w:val="Header"/>
              <w:jc w:val="both"/>
              <w:rPr>
                <w:rFonts w:ascii="Calibri" w:hAnsi="Calibri" w:cs="Calibri"/>
                <w:sz w:val="20"/>
              </w:rPr>
            </w:pPr>
            <w:r w:rsidRPr="009F5681">
              <w:rPr>
                <w:rFonts w:ascii="Calibri" w:hAnsi="Calibri" w:cs="Calibri"/>
                <w:sz w:val="20"/>
              </w:rPr>
              <w:t>EN 13162</w:t>
            </w:r>
          </w:p>
        </w:tc>
        <w:tc>
          <w:tcPr>
            <w:tcW w:w="1202" w:type="dxa"/>
            <w:shd w:val="clear" w:color="auto" w:fill="auto"/>
          </w:tcPr>
          <w:p w14:paraId="4862265E" w14:textId="77777777" w:rsidR="00A951B2" w:rsidRPr="009F5681" w:rsidRDefault="00A951B2" w:rsidP="00BC5F19">
            <w:pPr>
              <w:pStyle w:val="Header"/>
              <w:jc w:val="both"/>
              <w:rPr>
                <w:rFonts w:ascii="Calibri" w:hAnsi="Calibri" w:cs="Calibri"/>
                <w:sz w:val="20"/>
              </w:rPr>
            </w:pPr>
            <w:r w:rsidRPr="009F5681">
              <w:rPr>
                <w:rFonts w:ascii="Calibri" w:hAnsi="Calibri" w:cs="Calibri"/>
                <w:sz w:val="20"/>
              </w:rPr>
              <w:t>EN 13501-1</w:t>
            </w:r>
          </w:p>
        </w:tc>
      </w:tr>
      <w:tr w:rsidR="00A951B2" w:rsidRPr="00764B3A" w14:paraId="2CCE80F2" w14:textId="77777777" w:rsidTr="003505AB">
        <w:trPr>
          <w:trHeight w:val="283"/>
        </w:trPr>
        <w:tc>
          <w:tcPr>
            <w:tcW w:w="1951" w:type="dxa"/>
            <w:vMerge w:val="restart"/>
            <w:shd w:val="clear" w:color="auto" w:fill="auto"/>
            <w:vAlign w:val="center"/>
          </w:tcPr>
          <w:p w14:paraId="19065F69" w14:textId="77777777" w:rsidR="00A951B2" w:rsidRPr="00764B3A" w:rsidRDefault="00A951B2" w:rsidP="00BC5F19">
            <w:pPr>
              <w:pStyle w:val="Header"/>
              <w:jc w:val="both"/>
              <w:rPr>
                <w:rFonts w:ascii="Calibri" w:hAnsi="Calibri" w:cs="Calibri"/>
                <w:b/>
              </w:rPr>
            </w:pPr>
            <w:r w:rsidRPr="00764B3A">
              <w:rPr>
                <w:rFonts w:ascii="Calibri" w:hAnsi="Calibri" w:cs="Calibri"/>
                <w:b/>
              </w:rPr>
              <w:t>Isover FLO</w:t>
            </w:r>
          </w:p>
          <w:p w14:paraId="24870D4C" w14:textId="77777777" w:rsidR="00A951B2" w:rsidRPr="00764B3A" w:rsidRDefault="00A951B2" w:rsidP="00BC5F19">
            <w:pPr>
              <w:pStyle w:val="Header"/>
              <w:jc w:val="both"/>
              <w:rPr>
                <w:rFonts w:ascii="Calibri" w:hAnsi="Calibri" w:cs="Calibri"/>
                <w:sz w:val="18"/>
                <w:szCs w:val="18"/>
              </w:rPr>
            </w:pPr>
          </w:p>
        </w:tc>
        <w:tc>
          <w:tcPr>
            <w:tcW w:w="851" w:type="dxa"/>
            <w:shd w:val="clear" w:color="auto" w:fill="auto"/>
            <w:vAlign w:val="center"/>
          </w:tcPr>
          <w:p w14:paraId="6C15E164" w14:textId="77777777" w:rsidR="00A951B2" w:rsidRPr="00764B3A" w:rsidRDefault="00A951B2" w:rsidP="00BC5F19">
            <w:pPr>
              <w:pStyle w:val="Header"/>
              <w:jc w:val="center"/>
              <w:rPr>
                <w:rFonts w:ascii="Calibri" w:hAnsi="Calibri" w:cs="Calibri"/>
              </w:rPr>
            </w:pPr>
            <w:r w:rsidRPr="00764B3A">
              <w:rPr>
                <w:rFonts w:ascii="Calibri" w:hAnsi="Calibri" w:cs="Calibri"/>
              </w:rPr>
              <w:t>20</w:t>
            </w:r>
          </w:p>
        </w:tc>
        <w:tc>
          <w:tcPr>
            <w:tcW w:w="1275" w:type="dxa"/>
            <w:shd w:val="clear" w:color="auto" w:fill="auto"/>
            <w:vAlign w:val="center"/>
          </w:tcPr>
          <w:p w14:paraId="1E74AFCB" w14:textId="2EBE2401" w:rsidR="00A951B2" w:rsidRPr="00764B3A" w:rsidRDefault="00A951B2" w:rsidP="00BC5F19">
            <w:pPr>
              <w:pStyle w:val="Header"/>
              <w:jc w:val="center"/>
              <w:rPr>
                <w:rFonts w:ascii="Calibri" w:hAnsi="Calibri" w:cs="Calibri"/>
              </w:rPr>
            </w:pPr>
            <w:r w:rsidRPr="00764B3A">
              <w:rPr>
                <w:rFonts w:ascii="Calibri" w:hAnsi="Calibri" w:cs="Calibri"/>
              </w:rPr>
              <w:t>≤ 2</w:t>
            </w:r>
            <w:r w:rsidR="003A475A">
              <w:rPr>
                <w:rFonts w:ascii="Calibri" w:hAnsi="Calibri" w:cs="Calibri"/>
              </w:rPr>
              <w:t>2</w:t>
            </w:r>
          </w:p>
        </w:tc>
        <w:tc>
          <w:tcPr>
            <w:tcW w:w="1329" w:type="dxa"/>
            <w:vMerge w:val="restart"/>
            <w:shd w:val="clear" w:color="auto" w:fill="auto"/>
            <w:vAlign w:val="center"/>
          </w:tcPr>
          <w:p w14:paraId="7D88B8F6" w14:textId="77777777" w:rsidR="00A951B2" w:rsidRPr="00764B3A" w:rsidRDefault="00A951B2" w:rsidP="00BC5F19">
            <w:pPr>
              <w:pStyle w:val="Header"/>
              <w:jc w:val="center"/>
              <w:rPr>
                <w:rFonts w:ascii="Calibri" w:hAnsi="Calibri" w:cs="Calibri"/>
              </w:rPr>
            </w:pPr>
            <w:r w:rsidRPr="00764B3A">
              <w:rPr>
                <w:rFonts w:ascii="Calibri" w:hAnsi="Calibri" w:cs="Calibri"/>
              </w:rPr>
              <w:t>≥ 20</w:t>
            </w:r>
          </w:p>
        </w:tc>
        <w:tc>
          <w:tcPr>
            <w:tcW w:w="1813" w:type="dxa"/>
            <w:shd w:val="clear" w:color="auto" w:fill="auto"/>
            <w:vAlign w:val="center"/>
          </w:tcPr>
          <w:p w14:paraId="012CBABE" w14:textId="77777777" w:rsidR="00A951B2" w:rsidRPr="00764B3A" w:rsidRDefault="00A951B2" w:rsidP="00BC5F19">
            <w:pPr>
              <w:pStyle w:val="Header"/>
              <w:jc w:val="center"/>
              <w:rPr>
                <w:rFonts w:ascii="Calibri" w:hAnsi="Calibri" w:cs="Calibri"/>
              </w:rPr>
            </w:pPr>
            <w:r w:rsidRPr="00764B3A">
              <w:rPr>
                <w:rFonts w:ascii="Calibri" w:hAnsi="Calibri" w:cs="Calibri"/>
              </w:rPr>
              <w:t>5,0</w:t>
            </w:r>
          </w:p>
        </w:tc>
        <w:tc>
          <w:tcPr>
            <w:tcW w:w="1536" w:type="dxa"/>
            <w:vMerge w:val="restart"/>
            <w:shd w:val="clear" w:color="auto" w:fill="auto"/>
            <w:vAlign w:val="center"/>
          </w:tcPr>
          <w:p w14:paraId="2C04CACA" w14:textId="77777777" w:rsidR="00A951B2" w:rsidRPr="00764B3A" w:rsidRDefault="00A951B2" w:rsidP="00BC5F19">
            <w:pPr>
              <w:pStyle w:val="Header"/>
              <w:jc w:val="center"/>
              <w:rPr>
                <w:rFonts w:ascii="Calibri" w:hAnsi="Calibri" w:cs="Calibri"/>
              </w:rPr>
            </w:pPr>
            <w:r w:rsidRPr="00764B3A">
              <w:rPr>
                <w:rFonts w:ascii="Calibri" w:hAnsi="Calibri" w:cs="Calibri"/>
              </w:rPr>
              <w:t>0,035</w:t>
            </w:r>
          </w:p>
        </w:tc>
        <w:tc>
          <w:tcPr>
            <w:tcW w:w="1202" w:type="dxa"/>
            <w:vMerge w:val="restart"/>
            <w:shd w:val="clear" w:color="auto" w:fill="auto"/>
            <w:vAlign w:val="center"/>
          </w:tcPr>
          <w:p w14:paraId="4EE470F7" w14:textId="77777777" w:rsidR="00A951B2" w:rsidRPr="00B2636E" w:rsidRDefault="00A951B2" w:rsidP="00BC5F19">
            <w:pPr>
              <w:pStyle w:val="Header"/>
              <w:jc w:val="center"/>
              <w:rPr>
                <w:rFonts w:ascii="Calibri" w:hAnsi="Calibri" w:cs="Calibri"/>
              </w:rPr>
            </w:pPr>
            <w:r w:rsidRPr="00B2636E">
              <w:rPr>
                <w:rFonts w:ascii="Calibri" w:hAnsi="Calibri" w:cs="Calibri"/>
              </w:rPr>
              <w:t>A2-s1, d0</w:t>
            </w:r>
          </w:p>
        </w:tc>
      </w:tr>
      <w:tr w:rsidR="00A951B2" w:rsidRPr="00764B3A" w14:paraId="258992C6" w14:textId="77777777" w:rsidTr="003505AB">
        <w:trPr>
          <w:trHeight w:val="283"/>
        </w:trPr>
        <w:tc>
          <w:tcPr>
            <w:tcW w:w="1951" w:type="dxa"/>
            <w:vMerge/>
            <w:shd w:val="clear" w:color="auto" w:fill="auto"/>
            <w:vAlign w:val="center"/>
          </w:tcPr>
          <w:p w14:paraId="0935918B" w14:textId="77777777" w:rsidR="00A951B2" w:rsidRPr="00764B3A" w:rsidRDefault="00A951B2" w:rsidP="00BC5F19">
            <w:pPr>
              <w:pStyle w:val="Header"/>
              <w:jc w:val="both"/>
              <w:rPr>
                <w:rFonts w:ascii="Calibri" w:hAnsi="Calibri" w:cs="Calibri"/>
              </w:rPr>
            </w:pPr>
          </w:p>
        </w:tc>
        <w:tc>
          <w:tcPr>
            <w:tcW w:w="851" w:type="dxa"/>
            <w:shd w:val="clear" w:color="auto" w:fill="auto"/>
            <w:vAlign w:val="center"/>
          </w:tcPr>
          <w:p w14:paraId="671D3BDD" w14:textId="77777777" w:rsidR="00A951B2" w:rsidRPr="00764B3A" w:rsidRDefault="00A951B2" w:rsidP="00BC5F19">
            <w:pPr>
              <w:pStyle w:val="Header"/>
              <w:jc w:val="center"/>
              <w:rPr>
                <w:rFonts w:ascii="Calibri" w:hAnsi="Calibri" w:cs="Calibri"/>
              </w:rPr>
            </w:pPr>
            <w:r w:rsidRPr="00764B3A">
              <w:rPr>
                <w:rFonts w:ascii="Calibri" w:hAnsi="Calibri" w:cs="Calibri"/>
              </w:rPr>
              <w:t>30</w:t>
            </w:r>
          </w:p>
        </w:tc>
        <w:tc>
          <w:tcPr>
            <w:tcW w:w="1275" w:type="dxa"/>
            <w:shd w:val="clear" w:color="auto" w:fill="auto"/>
            <w:vAlign w:val="center"/>
          </w:tcPr>
          <w:p w14:paraId="678E7A3B" w14:textId="77777777" w:rsidR="00A951B2" w:rsidRPr="00764B3A" w:rsidRDefault="00A951B2" w:rsidP="00BC5F19">
            <w:pPr>
              <w:spacing w:after="0"/>
              <w:jc w:val="center"/>
              <w:rPr>
                <w:rFonts w:ascii="Calibri" w:hAnsi="Calibri" w:cs="Calibri"/>
              </w:rPr>
            </w:pPr>
            <w:r w:rsidRPr="00764B3A">
              <w:rPr>
                <w:rFonts w:ascii="Calibri" w:hAnsi="Calibri" w:cs="Calibri"/>
              </w:rPr>
              <w:t>≤ 16</w:t>
            </w:r>
          </w:p>
        </w:tc>
        <w:tc>
          <w:tcPr>
            <w:tcW w:w="1329" w:type="dxa"/>
            <w:vMerge/>
            <w:shd w:val="clear" w:color="auto" w:fill="auto"/>
            <w:vAlign w:val="center"/>
          </w:tcPr>
          <w:p w14:paraId="5FF40751" w14:textId="77777777" w:rsidR="00A951B2" w:rsidRPr="00764B3A" w:rsidRDefault="00A951B2" w:rsidP="00BC5F19">
            <w:pPr>
              <w:jc w:val="center"/>
              <w:rPr>
                <w:rFonts w:ascii="Calibri" w:hAnsi="Calibri" w:cs="Calibri"/>
              </w:rPr>
            </w:pPr>
          </w:p>
        </w:tc>
        <w:tc>
          <w:tcPr>
            <w:tcW w:w="1813" w:type="dxa"/>
            <w:shd w:val="clear" w:color="auto" w:fill="auto"/>
            <w:vAlign w:val="center"/>
          </w:tcPr>
          <w:p w14:paraId="2FC99F1F" w14:textId="77777777" w:rsidR="00A951B2" w:rsidRPr="00764B3A" w:rsidRDefault="00A951B2" w:rsidP="00BC5F19">
            <w:pPr>
              <w:pStyle w:val="Header"/>
              <w:jc w:val="center"/>
              <w:rPr>
                <w:rFonts w:ascii="Calibri" w:hAnsi="Calibri" w:cs="Calibri"/>
              </w:rPr>
            </w:pPr>
            <w:r w:rsidRPr="00764B3A">
              <w:rPr>
                <w:rFonts w:ascii="Calibri" w:hAnsi="Calibri" w:cs="Calibri"/>
              </w:rPr>
              <w:t>4,0</w:t>
            </w:r>
          </w:p>
        </w:tc>
        <w:tc>
          <w:tcPr>
            <w:tcW w:w="1536" w:type="dxa"/>
            <w:vMerge/>
            <w:shd w:val="clear" w:color="auto" w:fill="auto"/>
            <w:vAlign w:val="center"/>
          </w:tcPr>
          <w:p w14:paraId="64EA22EE" w14:textId="77777777" w:rsidR="00A951B2" w:rsidRPr="00764B3A" w:rsidRDefault="00A951B2" w:rsidP="00BC5F19">
            <w:pPr>
              <w:pStyle w:val="Header"/>
              <w:jc w:val="center"/>
              <w:rPr>
                <w:rFonts w:ascii="Calibri" w:hAnsi="Calibri" w:cs="Calibri"/>
              </w:rPr>
            </w:pPr>
          </w:p>
        </w:tc>
        <w:tc>
          <w:tcPr>
            <w:tcW w:w="1202" w:type="dxa"/>
            <w:vMerge/>
            <w:shd w:val="clear" w:color="auto" w:fill="auto"/>
            <w:vAlign w:val="center"/>
          </w:tcPr>
          <w:p w14:paraId="054AE6EC" w14:textId="77777777" w:rsidR="00A951B2" w:rsidRPr="00764B3A" w:rsidRDefault="00A951B2" w:rsidP="00BC5F19">
            <w:pPr>
              <w:pStyle w:val="Header"/>
              <w:jc w:val="center"/>
              <w:rPr>
                <w:rFonts w:ascii="Calibri" w:hAnsi="Calibri" w:cs="Calibri"/>
              </w:rPr>
            </w:pPr>
          </w:p>
        </w:tc>
      </w:tr>
      <w:tr w:rsidR="00A951B2" w:rsidRPr="00764B3A" w14:paraId="3F7672F2" w14:textId="77777777" w:rsidTr="003505AB">
        <w:trPr>
          <w:trHeight w:val="283"/>
        </w:trPr>
        <w:tc>
          <w:tcPr>
            <w:tcW w:w="1951" w:type="dxa"/>
            <w:vMerge/>
            <w:shd w:val="clear" w:color="auto" w:fill="auto"/>
            <w:vAlign w:val="center"/>
          </w:tcPr>
          <w:p w14:paraId="29D081C2" w14:textId="77777777" w:rsidR="00A951B2" w:rsidRPr="00764B3A" w:rsidRDefault="00A951B2" w:rsidP="00BC5F19">
            <w:pPr>
              <w:pStyle w:val="Header"/>
              <w:jc w:val="both"/>
              <w:rPr>
                <w:rFonts w:ascii="Calibri" w:hAnsi="Calibri" w:cs="Calibri"/>
              </w:rPr>
            </w:pPr>
          </w:p>
        </w:tc>
        <w:tc>
          <w:tcPr>
            <w:tcW w:w="851" w:type="dxa"/>
            <w:shd w:val="clear" w:color="auto" w:fill="auto"/>
            <w:vAlign w:val="center"/>
          </w:tcPr>
          <w:p w14:paraId="3F0EC26C" w14:textId="77777777" w:rsidR="00A951B2" w:rsidRPr="00764B3A" w:rsidRDefault="00B2636E" w:rsidP="00BC5F19">
            <w:pPr>
              <w:pStyle w:val="Header"/>
              <w:jc w:val="center"/>
              <w:rPr>
                <w:rFonts w:ascii="Calibri" w:hAnsi="Calibri" w:cs="Calibri"/>
              </w:rPr>
            </w:pPr>
            <w:r>
              <w:rPr>
                <w:rFonts w:ascii="Calibri" w:hAnsi="Calibri" w:cs="Calibri"/>
              </w:rPr>
              <w:t>5</w:t>
            </w:r>
            <w:r w:rsidR="00A951B2" w:rsidRPr="00764B3A">
              <w:rPr>
                <w:rFonts w:ascii="Calibri" w:hAnsi="Calibri" w:cs="Calibri"/>
              </w:rPr>
              <w:t>0</w:t>
            </w:r>
          </w:p>
        </w:tc>
        <w:tc>
          <w:tcPr>
            <w:tcW w:w="1275" w:type="dxa"/>
            <w:shd w:val="clear" w:color="auto" w:fill="auto"/>
            <w:vAlign w:val="center"/>
          </w:tcPr>
          <w:p w14:paraId="344585FF" w14:textId="77777777" w:rsidR="00A951B2" w:rsidRPr="00764B3A" w:rsidRDefault="00B2636E" w:rsidP="00BC5F19">
            <w:pPr>
              <w:spacing w:after="0"/>
              <w:jc w:val="center"/>
              <w:rPr>
                <w:rFonts w:ascii="Calibri" w:hAnsi="Calibri" w:cs="Calibri"/>
              </w:rPr>
            </w:pPr>
            <w:r>
              <w:rPr>
                <w:rFonts w:ascii="Calibri" w:hAnsi="Calibri" w:cs="Calibri"/>
              </w:rPr>
              <w:t>≤ 10</w:t>
            </w:r>
          </w:p>
        </w:tc>
        <w:tc>
          <w:tcPr>
            <w:tcW w:w="1329" w:type="dxa"/>
            <w:vMerge/>
            <w:shd w:val="clear" w:color="auto" w:fill="auto"/>
            <w:vAlign w:val="center"/>
          </w:tcPr>
          <w:p w14:paraId="6A325C87" w14:textId="77777777" w:rsidR="00A951B2" w:rsidRPr="00764B3A" w:rsidRDefault="00A951B2" w:rsidP="00BC5F19">
            <w:pPr>
              <w:jc w:val="center"/>
              <w:rPr>
                <w:rFonts w:ascii="Calibri" w:hAnsi="Calibri" w:cs="Calibri"/>
              </w:rPr>
            </w:pPr>
          </w:p>
        </w:tc>
        <w:tc>
          <w:tcPr>
            <w:tcW w:w="1813" w:type="dxa"/>
            <w:shd w:val="clear" w:color="auto" w:fill="auto"/>
            <w:vAlign w:val="center"/>
          </w:tcPr>
          <w:p w14:paraId="29149F88" w14:textId="77777777" w:rsidR="00A951B2" w:rsidRPr="00764B3A" w:rsidRDefault="00B2636E" w:rsidP="00BC5F19">
            <w:pPr>
              <w:pStyle w:val="Header"/>
              <w:jc w:val="center"/>
              <w:rPr>
                <w:rFonts w:ascii="Calibri" w:hAnsi="Calibri" w:cs="Calibri"/>
              </w:rPr>
            </w:pPr>
            <w:r>
              <w:rPr>
                <w:rFonts w:ascii="Calibri" w:hAnsi="Calibri" w:cs="Calibri"/>
              </w:rPr>
              <w:t>3,0</w:t>
            </w:r>
          </w:p>
        </w:tc>
        <w:tc>
          <w:tcPr>
            <w:tcW w:w="1536" w:type="dxa"/>
            <w:vMerge/>
            <w:shd w:val="clear" w:color="auto" w:fill="auto"/>
            <w:vAlign w:val="center"/>
          </w:tcPr>
          <w:p w14:paraId="1738DAE2" w14:textId="77777777" w:rsidR="00A951B2" w:rsidRPr="00764B3A" w:rsidRDefault="00A951B2" w:rsidP="00BC5F19">
            <w:pPr>
              <w:pStyle w:val="Header"/>
              <w:jc w:val="center"/>
              <w:rPr>
                <w:rFonts w:ascii="Calibri" w:hAnsi="Calibri" w:cs="Calibri"/>
              </w:rPr>
            </w:pPr>
          </w:p>
        </w:tc>
        <w:tc>
          <w:tcPr>
            <w:tcW w:w="1202" w:type="dxa"/>
            <w:vMerge/>
            <w:shd w:val="clear" w:color="auto" w:fill="auto"/>
            <w:vAlign w:val="center"/>
          </w:tcPr>
          <w:p w14:paraId="7B31C599" w14:textId="77777777" w:rsidR="00A951B2" w:rsidRPr="00764B3A" w:rsidRDefault="00A951B2" w:rsidP="00BC5F19">
            <w:pPr>
              <w:pStyle w:val="Header"/>
              <w:jc w:val="center"/>
              <w:rPr>
                <w:rFonts w:ascii="Calibri" w:hAnsi="Calibri" w:cs="Calibri"/>
              </w:rPr>
            </w:pPr>
          </w:p>
        </w:tc>
      </w:tr>
    </w:tbl>
    <w:p w14:paraId="3E248B33" w14:textId="77777777" w:rsidR="00A951B2" w:rsidRPr="00764B3A" w:rsidRDefault="00A951B2" w:rsidP="00BC5F19">
      <w:pPr>
        <w:pStyle w:val="Header"/>
        <w:ind w:left="567"/>
        <w:jc w:val="both"/>
        <w:rPr>
          <w:rFonts w:ascii="Calibri" w:hAnsi="Calibri" w:cs="Calibri"/>
        </w:rPr>
      </w:pPr>
      <w:bookmarkStart w:id="0" w:name="_Toc274640274"/>
      <w:bookmarkStart w:id="1" w:name="_Toc274641021"/>
    </w:p>
    <w:p w14:paraId="1AFD02D7" w14:textId="77777777" w:rsidR="00A951B2" w:rsidRPr="00B2636E" w:rsidRDefault="00A951B2" w:rsidP="00BC5F19">
      <w:pPr>
        <w:numPr>
          <w:ilvl w:val="1"/>
          <w:numId w:val="10"/>
        </w:numPr>
        <w:spacing w:after="240" w:line="240" w:lineRule="auto"/>
        <w:jc w:val="both"/>
        <w:rPr>
          <w:rFonts w:ascii="Calibri" w:hAnsi="Calibri" w:cs="Calibri"/>
        </w:rPr>
      </w:pPr>
      <w:r w:rsidRPr="00764B3A">
        <w:rPr>
          <w:rFonts w:ascii="Calibri" w:hAnsi="Calibri" w:cs="Calibri"/>
        </w:rPr>
        <w:t>Miner</w:t>
      </w:r>
      <w:r w:rsidR="00926B34">
        <w:rPr>
          <w:rFonts w:ascii="Calibri" w:hAnsi="Calibri" w:cs="Calibri"/>
        </w:rPr>
        <w:t>alinės vatos tankis ne</w:t>
      </w:r>
      <w:r w:rsidRPr="00764B3A">
        <w:rPr>
          <w:rFonts w:ascii="Calibri" w:hAnsi="Calibri" w:cs="Calibri"/>
        </w:rPr>
        <w:t>naudojamas kaip parametras garsą izoliuojančių minera</w:t>
      </w:r>
      <w:r w:rsidR="00926B34">
        <w:rPr>
          <w:rFonts w:ascii="Calibri" w:hAnsi="Calibri" w:cs="Calibri"/>
        </w:rPr>
        <w:t>linės vatos plokščių parinkimui, išskyrus atvejus, kai reikia įvertinti apkrovas.</w:t>
      </w:r>
    </w:p>
    <w:p w14:paraId="7762A760" w14:textId="77777777" w:rsidR="00A951B2" w:rsidRPr="00764B3A" w:rsidRDefault="00A951B2" w:rsidP="00BC5F19">
      <w:pPr>
        <w:pStyle w:val="1STNormal"/>
        <w:numPr>
          <w:ilvl w:val="0"/>
          <w:numId w:val="10"/>
        </w:numPr>
        <w:pBdr>
          <w:top w:val="none" w:sz="0" w:space="0" w:color="auto"/>
          <w:left w:val="none" w:sz="0" w:space="0" w:color="auto"/>
          <w:bottom w:val="none" w:sz="0" w:space="0" w:color="auto"/>
          <w:right w:val="none" w:sz="0" w:space="0" w:color="auto"/>
        </w:pBdr>
        <w:spacing w:before="0" w:after="0"/>
        <w:jc w:val="both"/>
        <w:rPr>
          <w:rFonts w:ascii="Calibri" w:hAnsi="Calibri" w:cs="Calibri"/>
          <w:b/>
        </w:rPr>
      </w:pPr>
      <w:r w:rsidRPr="00764B3A">
        <w:rPr>
          <w:rFonts w:ascii="Calibri" w:hAnsi="Calibri" w:cs="Calibri"/>
          <w:b/>
        </w:rPr>
        <w:t>KOKYBINIAI IR TECHNOLOGINIAI  GARSĄ IZOLIUOJANČIŲ PERDANGŲ ĮRENGIMO REIKALAVIMAI</w:t>
      </w:r>
    </w:p>
    <w:bookmarkEnd w:id="0"/>
    <w:bookmarkEnd w:id="1"/>
    <w:p w14:paraId="1EBC13B3" w14:textId="3C1A6637" w:rsidR="00A951B2" w:rsidRPr="00764B3A" w:rsidRDefault="00A951B2" w:rsidP="00BC5F19">
      <w:pPr>
        <w:numPr>
          <w:ilvl w:val="1"/>
          <w:numId w:val="10"/>
        </w:numPr>
        <w:spacing w:after="0" w:line="240" w:lineRule="auto"/>
        <w:jc w:val="both"/>
        <w:rPr>
          <w:rFonts w:ascii="Calibri" w:hAnsi="Calibri" w:cs="Calibri"/>
          <w:bCs/>
          <w:iCs/>
        </w:rPr>
      </w:pPr>
      <w:r w:rsidRPr="00764B3A">
        <w:rPr>
          <w:rFonts w:ascii="Calibri" w:hAnsi="Calibri" w:cs="Calibri"/>
          <w:bCs/>
          <w:iCs/>
        </w:rPr>
        <w:t>Detalūs kokybiniai ir technologiniai  garsą izoliuojančioms gelžbetoninių perdangų konstrukcijoms pateikiami nacionaliniame techniniame įvertinime</w:t>
      </w:r>
      <w:r w:rsidR="00B2636E">
        <w:rPr>
          <w:rFonts w:ascii="Calibri" w:hAnsi="Calibri" w:cs="Calibri"/>
          <w:bCs/>
          <w:iCs/>
        </w:rPr>
        <w:t xml:space="preserve"> NTĮ-01-020:20</w:t>
      </w:r>
      <w:r w:rsidR="007C2363">
        <w:rPr>
          <w:rFonts w:ascii="Calibri" w:hAnsi="Calibri" w:cs="Calibri"/>
          <w:bCs/>
          <w:iCs/>
        </w:rPr>
        <w:t>24</w:t>
      </w:r>
      <w:r w:rsidRPr="00764B3A">
        <w:rPr>
          <w:rFonts w:ascii="Calibri" w:hAnsi="Calibri" w:cs="Calibri"/>
          <w:bCs/>
          <w:iCs/>
        </w:rPr>
        <w:t xml:space="preserve"> „Garsą izoliuojančios gelžbetoninių perdangų konstrukcijos su ISOVER mineralinės vatos plokštėmis“. Pagrindiniai reikalavimai pateikiami žemiau.</w:t>
      </w:r>
    </w:p>
    <w:p w14:paraId="304C7D64" w14:textId="77777777" w:rsidR="00A951B2" w:rsidRPr="00764B3A" w:rsidRDefault="00A951B2" w:rsidP="00BC5F19">
      <w:pPr>
        <w:numPr>
          <w:ilvl w:val="1"/>
          <w:numId w:val="10"/>
        </w:numPr>
        <w:spacing w:after="0" w:line="240" w:lineRule="auto"/>
        <w:jc w:val="both"/>
        <w:rPr>
          <w:rFonts w:ascii="Calibri" w:hAnsi="Calibri" w:cs="Calibri"/>
          <w:bCs/>
          <w:iCs/>
        </w:rPr>
      </w:pPr>
      <w:r w:rsidRPr="00764B3A">
        <w:rPr>
          <w:rFonts w:ascii="Calibri" w:hAnsi="Calibri" w:cs="Calibri"/>
          <w:bCs/>
          <w:iCs/>
        </w:rPr>
        <w:t>Įrengimo metu garsą izoliuojančių gelžbetonių perdangų konstrukcijų ir besiribojančių konstrukijų atliekamų darbų kokybė ir jų atitiktis nacionalinio techninio įvertinimo reikalavimams kontroliuojama vizualiai.</w:t>
      </w:r>
    </w:p>
    <w:p w14:paraId="0173241F" w14:textId="77777777" w:rsidR="00A951B2" w:rsidRPr="00460DB2" w:rsidRDefault="00A951B2" w:rsidP="00BC5F19">
      <w:pPr>
        <w:numPr>
          <w:ilvl w:val="1"/>
          <w:numId w:val="10"/>
        </w:numPr>
        <w:spacing w:after="0" w:line="240" w:lineRule="auto"/>
        <w:jc w:val="both"/>
        <w:rPr>
          <w:rFonts w:ascii="Calibri" w:hAnsi="Calibri" w:cs="Calibri"/>
          <w:bCs/>
          <w:iCs/>
        </w:rPr>
      </w:pPr>
      <w:r w:rsidRPr="00460DB2">
        <w:rPr>
          <w:rFonts w:ascii="Calibri" w:hAnsi="Calibri" w:cs="Calibri"/>
          <w:bCs/>
          <w:iCs/>
        </w:rPr>
        <w:t xml:space="preserve">Garsą izoliuojančių gelžbetonių perdangų konstrukcijų įrengimui panaudotų medžiagų ir elementų atitiktis įvertinama pagal jų atitikties dokumentuose pateiktą informaciją. </w:t>
      </w:r>
    </w:p>
    <w:p w14:paraId="393D74FB" w14:textId="4832161D" w:rsidR="00A951B2" w:rsidRPr="00764B3A" w:rsidRDefault="00A951B2" w:rsidP="00BC5F19">
      <w:pPr>
        <w:numPr>
          <w:ilvl w:val="1"/>
          <w:numId w:val="10"/>
        </w:numPr>
        <w:spacing w:after="0" w:line="240" w:lineRule="auto"/>
        <w:jc w:val="both"/>
        <w:rPr>
          <w:rFonts w:ascii="Calibri" w:hAnsi="Calibri" w:cs="Calibri"/>
          <w:bCs/>
          <w:iCs/>
        </w:rPr>
      </w:pPr>
      <w:r w:rsidRPr="00764B3A">
        <w:rPr>
          <w:rFonts w:ascii="Calibri" w:hAnsi="Calibri" w:cs="Calibri"/>
          <w:bCs/>
          <w:iCs/>
        </w:rPr>
        <w:t>Įrengtų garsą izoliuojančių gelžbetonių perdangų konstrukcijų, o prireikus ir besiribojančių konstrukcijų atitiktis įvertinama pagal įrašus patikros p</w:t>
      </w:r>
      <w:r w:rsidR="00B2636E">
        <w:rPr>
          <w:rFonts w:ascii="Calibri" w:hAnsi="Calibri" w:cs="Calibri"/>
          <w:bCs/>
          <w:iCs/>
        </w:rPr>
        <w:t>lane, pateiktame NTĮ-01-020:20</w:t>
      </w:r>
      <w:r w:rsidR="007C2363">
        <w:rPr>
          <w:rFonts w:ascii="Calibri" w:hAnsi="Calibri" w:cs="Calibri"/>
          <w:bCs/>
          <w:iCs/>
        </w:rPr>
        <w:t>24</w:t>
      </w:r>
      <w:r w:rsidRPr="00764B3A">
        <w:rPr>
          <w:rFonts w:ascii="Calibri" w:hAnsi="Calibri" w:cs="Calibri"/>
          <w:bCs/>
          <w:iCs/>
        </w:rPr>
        <w:t xml:space="preserve"> „Garsą izoliuojančios gelžbetoninių perdangų konstrukcijos su ISOVER mineralinės vatos plokštėmis“, 2 priede.</w:t>
      </w:r>
    </w:p>
    <w:p w14:paraId="05BD921C" w14:textId="77777777" w:rsidR="00A951B2" w:rsidRPr="00764B3A" w:rsidRDefault="00A951B2" w:rsidP="00BC5F19">
      <w:pPr>
        <w:numPr>
          <w:ilvl w:val="1"/>
          <w:numId w:val="10"/>
        </w:numPr>
        <w:spacing w:after="0" w:line="240" w:lineRule="auto"/>
        <w:jc w:val="both"/>
        <w:rPr>
          <w:rFonts w:ascii="Calibri" w:hAnsi="Calibri" w:cs="Calibri"/>
          <w:bCs/>
          <w:iCs/>
        </w:rPr>
      </w:pPr>
      <w:r>
        <w:rPr>
          <w:rFonts w:ascii="Calibri" w:hAnsi="Calibri" w:cs="Calibri"/>
        </w:rPr>
        <w:lastRenderedPageBreak/>
        <w:t>I</w:t>
      </w:r>
      <w:r w:rsidRPr="00E43B51">
        <w:rPr>
          <w:rFonts w:ascii="Calibri" w:hAnsi="Calibri" w:cs="Calibri"/>
        </w:rPr>
        <w:t xml:space="preserve">zoliacinė mineralinės vatos plokštė atskiria viršutinį betono ar skiedinio sluoksnį nuo laikančios </w:t>
      </w:r>
      <w:r>
        <w:rPr>
          <w:rFonts w:ascii="Calibri" w:hAnsi="Calibri" w:cs="Calibri"/>
        </w:rPr>
        <w:t>konstruk</w:t>
      </w:r>
      <w:r w:rsidR="00926B34">
        <w:rPr>
          <w:rFonts w:ascii="Calibri" w:hAnsi="Calibri" w:cs="Calibri"/>
        </w:rPr>
        <w:t>c</w:t>
      </w:r>
      <w:r>
        <w:rPr>
          <w:rFonts w:ascii="Calibri" w:hAnsi="Calibri" w:cs="Calibri"/>
        </w:rPr>
        <w:t>ijos perdangos plokštės. T</w:t>
      </w:r>
      <w:r w:rsidRPr="00E43B51">
        <w:rPr>
          <w:rFonts w:ascii="Calibri" w:hAnsi="Calibri" w:cs="Calibri"/>
        </w:rPr>
        <w:t xml:space="preserve">arp viršutinio betono ar skiedinio sluoksnio ir izoliacinės vatos plokštės būtina įrengti </w:t>
      </w:r>
      <w:r>
        <w:rPr>
          <w:rFonts w:ascii="Calibri" w:hAnsi="Calibri" w:cs="Calibri"/>
        </w:rPr>
        <w:t xml:space="preserve">vientisą </w:t>
      </w:r>
      <w:r w:rsidRPr="00E43B51">
        <w:rPr>
          <w:rFonts w:ascii="Calibri" w:hAnsi="Calibri" w:cs="Calibri"/>
        </w:rPr>
        <w:t>skiriamąjį sluoksnį iš betonavimo popieriaus ar polietileno plėvelės.</w:t>
      </w:r>
    </w:p>
    <w:p w14:paraId="549B01B4" w14:textId="77777777" w:rsidR="00A951B2" w:rsidRPr="00764B3A" w:rsidRDefault="00A951B2" w:rsidP="00BC5F19">
      <w:pPr>
        <w:numPr>
          <w:ilvl w:val="1"/>
          <w:numId w:val="10"/>
        </w:numPr>
        <w:spacing w:after="0" w:line="240" w:lineRule="auto"/>
        <w:jc w:val="both"/>
        <w:rPr>
          <w:rFonts w:ascii="Calibri" w:hAnsi="Calibri" w:cs="Calibri"/>
          <w:bCs/>
          <w:iCs/>
        </w:rPr>
      </w:pPr>
      <w:r>
        <w:rPr>
          <w:rFonts w:ascii="Calibri" w:hAnsi="Calibri" w:cs="Calibri"/>
        </w:rPr>
        <w:t>V</w:t>
      </w:r>
      <w:r w:rsidRPr="00FD1479">
        <w:rPr>
          <w:rFonts w:ascii="Calibri" w:hAnsi="Calibri" w:cs="Calibri"/>
        </w:rPr>
        <w:t>iršutinis betono/skiedinio sluoksnis visu perimetru būtų atskirtas nuo pagrindinių konstrukcijų</w:t>
      </w:r>
      <w:r w:rsidRPr="00E43B51">
        <w:rPr>
          <w:rFonts w:ascii="Calibri" w:hAnsi="Calibri" w:cs="Calibri"/>
        </w:rPr>
        <w:t xml:space="preserve"> </w:t>
      </w:r>
      <w:r>
        <w:rPr>
          <w:rFonts w:ascii="Calibri" w:hAnsi="Calibri" w:cs="Calibri"/>
        </w:rPr>
        <w:t>20-30mm mineralinės vatos plokštėmis</w:t>
      </w:r>
      <w:r w:rsidR="00B2636E">
        <w:rPr>
          <w:rFonts w:ascii="Calibri" w:hAnsi="Calibri" w:cs="Calibri"/>
        </w:rPr>
        <w:t xml:space="preserve"> Isover FLO</w:t>
      </w:r>
      <w:r>
        <w:rPr>
          <w:rFonts w:ascii="Calibri" w:hAnsi="Calibri" w:cs="Calibri"/>
        </w:rPr>
        <w:t xml:space="preserve"> arba KH dembliais. </w:t>
      </w:r>
    </w:p>
    <w:p w14:paraId="599D45CF" w14:textId="77777777" w:rsidR="00A951B2" w:rsidRPr="00764B3A" w:rsidRDefault="00A951B2" w:rsidP="00BC5F19">
      <w:pPr>
        <w:numPr>
          <w:ilvl w:val="1"/>
          <w:numId w:val="10"/>
        </w:numPr>
        <w:spacing w:after="0" w:line="240" w:lineRule="auto"/>
        <w:jc w:val="both"/>
        <w:rPr>
          <w:rFonts w:ascii="Calibri" w:hAnsi="Calibri" w:cs="Calibri"/>
        </w:rPr>
      </w:pPr>
      <w:r>
        <w:rPr>
          <w:rFonts w:ascii="Calibri" w:hAnsi="Calibri" w:cs="Calibri"/>
        </w:rPr>
        <w:t>V</w:t>
      </w:r>
      <w:r w:rsidRPr="00FD1479">
        <w:rPr>
          <w:rFonts w:ascii="Calibri" w:hAnsi="Calibri" w:cs="Calibri"/>
        </w:rPr>
        <w:t>amzdynų, kabelių ir kitų komunikacijų susikirtimo vietas su viršutiniu judriųjų grindų sluoksniu būtina izoliuoti tampriomis tarpinėmis/gaminiais, kad smūgio garsas per standžias jungtis su gretimomis statybinėmis konstrukcijomis negalėtų sklisti į kitas patalpas.</w:t>
      </w:r>
    </w:p>
    <w:p w14:paraId="018BF3DD" w14:textId="77777777" w:rsidR="00A951B2" w:rsidRPr="00764B3A" w:rsidRDefault="00A951B2" w:rsidP="00BC5F19">
      <w:pPr>
        <w:numPr>
          <w:ilvl w:val="1"/>
          <w:numId w:val="10"/>
        </w:numPr>
        <w:spacing w:after="0" w:line="240" w:lineRule="auto"/>
        <w:jc w:val="both"/>
        <w:rPr>
          <w:rFonts w:ascii="Calibri" w:hAnsi="Calibri" w:cs="Calibri"/>
        </w:rPr>
      </w:pPr>
      <w:r w:rsidRPr="00444BE4">
        <w:rPr>
          <w:rFonts w:ascii="Calibri" w:hAnsi="Calibri" w:cs="Calibri"/>
        </w:rPr>
        <w:t>S</w:t>
      </w:r>
      <w:r w:rsidRPr="00764B3A">
        <w:rPr>
          <w:rFonts w:ascii="Calibri" w:hAnsi="Calibri" w:cs="Calibri"/>
        </w:rPr>
        <w:t xml:space="preserve">urenkamųjų plokščių galai ir sujungimo vietos būtų užtaisytos skiediniu ar betonu. </w:t>
      </w:r>
    </w:p>
    <w:p w14:paraId="71171AB5" w14:textId="77777777"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V</w:t>
      </w:r>
      <w:r>
        <w:rPr>
          <w:rFonts w:ascii="Calibri" w:hAnsi="Calibri" w:cs="Calibri"/>
        </w:rPr>
        <w:t xml:space="preserve">amzdynams įvilkti </w:t>
      </w:r>
      <w:r w:rsidRPr="00764B3A">
        <w:rPr>
          <w:rFonts w:ascii="Calibri" w:hAnsi="Calibri" w:cs="Calibri"/>
        </w:rPr>
        <w:t>naudo</w:t>
      </w:r>
      <w:r>
        <w:rPr>
          <w:rFonts w:ascii="Calibri" w:hAnsi="Calibri" w:cs="Calibri"/>
        </w:rPr>
        <w:t xml:space="preserve">jamos </w:t>
      </w:r>
      <w:r w:rsidRPr="00764B3A">
        <w:rPr>
          <w:rFonts w:ascii="Calibri" w:hAnsi="Calibri" w:cs="Calibri"/>
        </w:rPr>
        <w:t xml:space="preserve"> elastingos medžiagos būtų 5 mm ir storesnės.  </w:t>
      </w:r>
    </w:p>
    <w:p w14:paraId="1E687F27" w14:textId="67725219"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Prie viršutinio betono/skiedinio sluoksnio prijungtų šildymo-vėdinimo prietaisų, santechninės ir kt. įrangos tvirtinimo elementai ne</w:t>
      </w:r>
      <w:r>
        <w:rPr>
          <w:rFonts w:ascii="Calibri" w:hAnsi="Calibri" w:cs="Calibri"/>
        </w:rPr>
        <w:t xml:space="preserve">gali būti standžiai sujungti </w:t>
      </w:r>
      <w:r w:rsidRPr="00764B3A">
        <w:rPr>
          <w:rFonts w:ascii="Calibri" w:hAnsi="Calibri" w:cs="Calibri"/>
        </w:rPr>
        <w:t xml:space="preserve">su perdangos plokštėmis ir sienomis. </w:t>
      </w:r>
    </w:p>
    <w:p w14:paraId="29E2C1AD" w14:textId="77777777" w:rsidR="00A951B2" w:rsidRPr="00764B3A" w:rsidRDefault="00A951B2" w:rsidP="00BC5F19">
      <w:pPr>
        <w:numPr>
          <w:ilvl w:val="1"/>
          <w:numId w:val="10"/>
        </w:numPr>
        <w:spacing w:after="0" w:line="240" w:lineRule="auto"/>
        <w:jc w:val="both"/>
        <w:rPr>
          <w:rFonts w:ascii="Calibri" w:hAnsi="Calibri" w:cs="Calibri"/>
        </w:rPr>
      </w:pPr>
      <w:r w:rsidRPr="00764B3A">
        <w:rPr>
          <w:rFonts w:ascii="Calibri" w:hAnsi="Calibri" w:cs="Calibri"/>
        </w:rPr>
        <w:t xml:space="preserve">Garsą izoliuojančiame mineralinės vatos sluoksnyje negalima kloti šildymo, vandentiekio, nuotekų vamzdynų ar elektros ir ryšių komunikacijų kabelių. </w:t>
      </w:r>
    </w:p>
    <w:p w14:paraId="7B2CE0C3" w14:textId="77777777" w:rsidR="00A951B2" w:rsidRDefault="00A951B2" w:rsidP="006C57B0">
      <w:pPr>
        <w:numPr>
          <w:ilvl w:val="1"/>
          <w:numId w:val="10"/>
        </w:numPr>
        <w:spacing w:after="120" w:line="240" w:lineRule="auto"/>
        <w:jc w:val="both"/>
        <w:rPr>
          <w:rFonts w:ascii="Calibri" w:hAnsi="Calibri" w:cs="Calibri"/>
        </w:rPr>
      </w:pPr>
      <w:r w:rsidRPr="00764B3A">
        <w:rPr>
          <w:rFonts w:ascii="Calibri" w:hAnsi="Calibri" w:cs="Calibri"/>
        </w:rPr>
        <w:t>Įrengta galutinė grindų danga, tiesiogiai ar per klijus negali liestis prie sienų ar betono/skiedinio sluoksnio, perdangą kertančių vamzdynų.</w:t>
      </w:r>
    </w:p>
    <w:p w14:paraId="3961D600" w14:textId="46F6FB98" w:rsidR="00A951B2" w:rsidRDefault="00A951B2" w:rsidP="00481529">
      <w:pPr>
        <w:tabs>
          <w:tab w:val="left" w:pos="915"/>
        </w:tabs>
        <w:spacing w:after="120" w:line="240" w:lineRule="auto"/>
        <w:jc w:val="both"/>
        <w:rPr>
          <w:rFonts w:ascii="Calibri" w:hAnsi="Calibri" w:cs="Calibri"/>
        </w:rPr>
      </w:pPr>
      <w:r w:rsidRPr="00764B3A">
        <w:rPr>
          <w:rFonts w:ascii="Calibri" w:hAnsi="Calibri" w:cs="Calibri"/>
        </w:rPr>
        <w:t>Garsą izoliuo</w:t>
      </w:r>
      <w:r>
        <w:rPr>
          <w:rFonts w:ascii="Calibri" w:hAnsi="Calibri" w:cs="Calibri"/>
        </w:rPr>
        <w:t>jančios konstrukcijos principinės schemos pateiktos 1a</w:t>
      </w:r>
      <w:r w:rsidR="00A05DC0">
        <w:rPr>
          <w:rFonts w:ascii="Calibri" w:hAnsi="Calibri" w:cs="Calibri"/>
        </w:rPr>
        <w:t>, 1b</w:t>
      </w:r>
      <w:r>
        <w:rPr>
          <w:rFonts w:ascii="Calibri" w:hAnsi="Calibri" w:cs="Calibri"/>
        </w:rPr>
        <w:t xml:space="preserve"> ir 1</w:t>
      </w:r>
      <w:r w:rsidR="00A05DC0">
        <w:rPr>
          <w:rFonts w:ascii="Calibri" w:hAnsi="Calibri" w:cs="Calibri"/>
        </w:rPr>
        <w:t>c</w:t>
      </w:r>
      <w:r>
        <w:rPr>
          <w:rFonts w:ascii="Calibri" w:hAnsi="Calibri" w:cs="Calibri"/>
        </w:rPr>
        <w:t xml:space="preserve"> pav. (taip pat žiūr. I- GP-</w:t>
      </w:r>
      <w:r>
        <w:rPr>
          <w:rFonts w:ascii="Calibri" w:hAnsi="Calibri" w:cs="Calibri"/>
          <w:lang w:val="en-US"/>
        </w:rPr>
        <w:t>2</w:t>
      </w:r>
      <w:r w:rsidR="008E77B4">
        <w:rPr>
          <w:rFonts w:ascii="Calibri" w:hAnsi="Calibri" w:cs="Calibri"/>
          <w:lang w:val="en-US"/>
        </w:rPr>
        <w:t>, I-GP-3</w:t>
      </w:r>
      <w:r w:rsidR="00546BBB">
        <w:rPr>
          <w:rFonts w:ascii="Calibri" w:hAnsi="Calibri" w:cs="Calibri"/>
          <w:lang w:val="en-US"/>
        </w:rPr>
        <w:t>, GP-4</w:t>
      </w:r>
      <w:r>
        <w:rPr>
          <w:rFonts w:ascii="Calibri" w:hAnsi="Calibri" w:cs="Calibri"/>
          <w:lang w:val="en-US"/>
        </w:rPr>
        <w:t xml:space="preserve"> </w:t>
      </w:r>
      <w:r w:rsidRPr="001F057B">
        <w:rPr>
          <w:rFonts w:ascii="Calibri" w:hAnsi="Calibri" w:cs="Calibri"/>
        </w:rPr>
        <w:t>detal</w:t>
      </w:r>
      <w:r w:rsidR="008E77B4">
        <w:rPr>
          <w:rFonts w:ascii="Calibri" w:hAnsi="Calibri" w:cs="Calibri"/>
        </w:rPr>
        <w:t>es</w:t>
      </w:r>
      <w:r>
        <w:rPr>
          <w:rFonts w:ascii="Calibri" w:hAnsi="Calibri" w:cs="Calibri"/>
        </w:rPr>
        <w:t xml:space="preserve"> </w:t>
      </w:r>
      <w:hyperlink r:id="rId7" w:history="1">
        <w:r w:rsidRPr="00444BE4">
          <w:rPr>
            <w:rStyle w:val="Hyperlink"/>
            <w:rFonts w:ascii="Calibri" w:hAnsi="Calibri" w:cs="Calibri"/>
          </w:rPr>
          <w:t>www.isover.lt</w:t>
        </w:r>
      </w:hyperlink>
      <w:r w:rsidRPr="00444BE4">
        <w:rPr>
          <w:rFonts w:ascii="Calibri" w:hAnsi="Calibri" w:cs="Calibri"/>
        </w:rPr>
        <w:t xml:space="preserve"> )</w:t>
      </w:r>
      <w:r>
        <w:rPr>
          <w:rFonts w:ascii="Calibri" w:hAnsi="Calibri" w:cs="Calibri"/>
        </w:rPr>
        <w:t>.</w:t>
      </w:r>
    </w:p>
    <w:tbl>
      <w:tblPr>
        <w:tblStyle w:val="TableGrid"/>
        <w:tblW w:w="0" w:type="auto"/>
        <w:tblLook w:val="04A0" w:firstRow="1" w:lastRow="0" w:firstColumn="1" w:lastColumn="0" w:noHBand="0" w:noVBand="1"/>
      </w:tblPr>
      <w:tblGrid>
        <w:gridCol w:w="4815"/>
        <w:gridCol w:w="4983"/>
      </w:tblGrid>
      <w:tr w:rsidR="008E77B4" w14:paraId="7D1BD5C6" w14:textId="77777777" w:rsidTr="001D6368">
        <w:tc>
          <w:tcPr>
            <w:tcW w:w="4815" w:type="dxa"/>
          </w:tcPr>
          <w:p w14:paraId="795B9BE2" w14:textId="677D074D" w:rsidR="008E77B4" w:rsidRDefault="001D6368">
            <w:r w:rsidRPr="001D6368">
              <w:rPr>
                <w:noProof/>
              </w:rPr>
              <w:drawing>
                <wp:inline distT="0" distB="0" distL="0" distR="0" wp14:anchorId="428E09F0" wp14:editId="5E20046B">
                  <wp:extent cx="2857748" cy="249195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7748" cy="2491956"/>
                          </a:xfrm>
                          <a:prstGeom prst="rect">
                            <a:avLst/>
                          </a:prstGeom>
                        </pic:spPr>
                      </pic:pic>
                    </a:graphicData>
                  </a:graphic>
                </wp:inline>
              </w:drawing>
            </w:r>
          </w:p>
        </w:tc>
        <w:tc>
          <w:tcPr>
            <w:tcW w:w="4983" w:type="dxa"/>
          </w:tcPr>
          <w:p w14:paraId="4A781DCB" w14:textId="0FBCDFDA" w:rsidR="008E77B4" w:rsidRDefault="00515B09">
            <w:r w:rsidRPr="00515B09">
              <w:rPr>
                <w:noProof/>
              </w:rPr>
              <w:drawing>
                <wp:inline distT="0" distB="0" distL="0" distR="0" wp14:anchorId="5BE459E1" wp14:editId="6258E29B">
                  <wp:extent cx="2911092" cy="2453853"/>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11092" cy="2453853"/>
                          </a:xfrm>
                          <a:prstGeom prst="rect">
                            <a:avLst/>
                          </a:prstGeom>
                        </pic:spPr>
                      </pic:pic>
                    </a:graphicData>
                  </a:graphic>
                </wp:inline>
              </w:drawing>
            </w:r>
          </w:p>
        </w:tc>
      </w:tr>
      <w:tr w:rsidR="008E77B4" w14:paraId="0B6347BE" w14:textId="77777777" w:rsidTr="009169E4">
        <w:tc>
          <w:tcPr>
            <w:tcW w:w="4815" w:type="dxa"/>
          </w:tcPr>
          <w:p w14:paraId="2FE515C0" w14:textId="179A80F6" w:rsidR="008E77B4" w:rsidRPr="008E77B4" w:rsidRDefault="008E77B4" w:rsidP="008E77B4">
            <w:pPr>
              <w:rPr>
                <w:rFonts w:asciiTheme="minorHAnsi" w:hAnsiTheme="minorHAnsi" w:cstheme="minorHAnsi"/>
              </w:rPr>
            </w:pPr>
            <w:r>
              <w:rPr>
                <w:rFonts w:asciiTheme="minorHAnsi" w:hAnsiTheme="minorHAnsi" w:cstheme="minorHAnsi"/>
              </w:rPr>
              <w:t>1a</w:t>
            </w:r>
            <w:r w:rsidRPr="008E77B4">
              <w:rPr>
                <w:rFonts w:asciiTheme="minorHAnsi" w:hAnsiTheme="minorHAnsi" w:cstheme="minorHAnsi"/>
              </w:rPr>
              <w:t>. Ju</w:t>
            </w:r>
            <w:r>
              <w:rPr>
                <w:rFonts w:asciiTheme="minorHAnsi" w:hAnsiTheme="minorHAnsi" w:cstheme="minorHAnsi"/>
              </w:rPr>
              <w:t>driosios grindys ant monolitinės</w:t>
            </w:r>
            <w:r w:rsidRPr="008E77B4">
              <w:rPr>
                <w:rFonts w:asciiTheme="minorHAnsi" w:hAnsiTheme="minorHAnsi" w:cstheme="minorHAnsi"/>
              </w:rPr>
              <w:t xml:space="preserve"> </w:t>
            </w:r>
            <w:proofErr w:type="spellStart"/>
            <w:r w:rsidRPr="008E77B4">
              <w:rPr>
                <w:rFonts w:asciiTheme="minorHAnsi" w:hAnsiTheme="minorHAnsi" w:cstheme="minorHAnsi"/>
              </w:rPr>
              <w:t>perd</w:t>
            </w:r>
            <w:proofErr w:type="spellEnd"/>
            <w:r w:rsidR="006F2FDF">
              <w:rPr>
                <w:rFonts w:asciiTheme="minorHAnsi" w:hAnsiTheme="minorHAnsi" w:cstheme="minorHAnsi"/>
              </w:rPr>
              <w:t>.</w:t>
            </w:r>
            <w:r w:rsidRPr="008E77B4">
              <w:rPr>
                <w:rFonts w:asciiTheme="minorHAnsi" w:hAnsiTheme="minorHAnsi" w:cstheme="minorHAnsi"/>
              </w:rPr>
              <w:t xml:space="preserve"> plokštės</w:t>
            </w:r>
          </w:p>
        </w:tc>
        <w:tc>
          <w:tcPr>
            <w:tcW w:w="4983" w:type="dxa"/>
            <w:tcBorders>
              <w:bottom w:val="single" w:sz="4" w:space="0" w:color="auto"/>
            </w:tcBorders>
          </w:tcPr>
          <w:p w14:paraId="0280344E" w14:textId="77777777" w:rsidR="008E77B4" w:rsidRPr="008E77B4" w:rsidRDefault="008E77B4" w:rsidP="008E77B4">
            <w:pPr>
              <w:rPr>
                <w:rFonts w:asciiTheme="minorHAnsi" w:hAnsiTheme="minorHAnsi" w:cstheme="minorHAnsi"/>
              </w:rPr>
            </w:pPr>
            <w:r w:rsidRPr="008E77B4">
              <w:rPr>
                <w:rFonts w:asciiTheme="minorHAnsi" w:hAnsiTheme="minorHAnsi" w:cstheme="minorHAnsi"/>
              </w:rPr>
              <w:t>1b. Judriosios grindys ant kiaurymėtos perdangos plokštės</w:t>
            </w:r>
          </w:p>
        </w:tc>
      </w:tr>
      <w:tr w:rsidR="006F2FDF" w14:paraId="374785B2" w14:textId="77777777" w:rsidTr="009169E4">
        <w:tc>
          <w:tcPr>
            <w:tcW w:w="4815" w:type="dxa"/>
          </w:tcPr>
          <w:p w14:paraId="6DE2E284" w14:textId="1169B41C" w:rsidR="001D6368" w:rsidRDefault="00DE399D" w:rsidP="008E77B4">
            <w:pPr>
              <w:rPr>
                <w:rFonts w:cstheme="minorHAnsi"/>
              </w:rPr>
            </w:pPr>
            <w:r w:rsidRPr="00DE399D">
              <w:rPr>
                <w:rFonts w:cstheme="minorHAnsi"/>
                <w:noProof/>
              </w:rPr>
              <w:drawing>
                <wp:inline distT="0" distB="0" distL="0" distR="0" wp14:anchorId="418AEBF1" wp14:editId="098A6561">
                  <wp:extent cx="2911092" cy="2491956"/>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1092" cy="2491956"/>
                          </a:xfrm>
                          <a:prstGeom prst="rect">
                            <a:avLst/>
                          </a:prstGeom>
                        </pic:spPr>
                      </pic:pic>
                    </a:graphicData>
                  </a:graphic>
                </wp:inline>
              </w:drawing>
            </w:r>
          </w:p>
        </w:tc>
        <w:tc>
          <w:tcPr>
            <w:tcW w:w="4983" w:type="dxa"/>
            <w:tcBorders>
              <w:bottom w:val="nil"/>
              <w:right w:val="nil"/>
            </w:tcBorders>
          </w:tcPr>
          <w:p w14:paraId="3418D246" w14:textId="77777777" w:rsidR="006F2FDF" w:rsidRPr="008E77B4" w:rsidRDefault="006F2FDF" w:rsidP="008E77B4">
            <w:pPr>
              <w:rPr>
                <w:rFonts w:cstheme="minorHAnsi"/>
              </w:rPr>
            </w:pPr>
          </w:p>
        </w:tc>
      </w:tr>
      <w:tr w:rsidR="006F2FDF" w14:paraId="3400C050" w14:textId="77777777" w:rsidTr="009169E4">
        <w:tc>
          <w:tcPr>
            <w:tcW w:w="4815" w:type="dxa"/>
          </w:tcPr>
          <w:p w14:paraId="4ABCFF54" w14:textId="1A8E8416" w:rsidR="006F2FDF" w:rsidRDefault="00DE4BF3" w:rsidP="008E77B4">
            <w:pPr>
              <w:rPr>
                <w:rFonts w:cstheme="minorHAnsi"/>
              </w:rPr>
            </w:pPr>
            <w:r w:rsidRPr="008E77B4">
              <w:rPr>
                <w:rFonts w:asciiTheme="minorHAnsi" w:hAnsiTheme="minorHAnsi" w:cstheme="minorHAnsi"/>
              </w:rPr>
              <w:t>1</w:t>
            </w:r>
            <w:r w:rsidR="00DC3CD5">
              <w:rPr>
                <w:rFonts w:asciiTheme="minorHAnsi" w:hAnsiTheme="minorHAnsi" w:cstheme="minorHAnsi"/>
              </w:rPr>
              <w:t>c</w:t>
            </w:r>
            <w:r w:rsidRPr="008E77B4">
              <w:rPr>
                <w:rFonts w:asciiTheme="minorHAnsi" w:hAnsiTheme="minorHAnsi" w:cstheme="minorHAnsi"/>
              </w:rPr>
              <w:t xml:space="preserve">. Judriosios grindys ant </w:t>
            </w:r>
            <w:r>
              <w:rPr>
                <w:rFonts w:asciiTheme="minorHAnsi" w:hAnsiTheme="minorHAnsi" w:cstheme="minorHAnsi"/>
              </w:rPr>
              <w:t>g/b sijų ir blokų perdangos</w:t>
            </w:r>
          </w:p>
        </w:tc>
        <w:tc>
          <w:tcPr>
            <w:tcW w:w="4983" w:type="dxa"/>
            <w:tcBorders>
              <w:top w:val="nil"/>
              <w:bottom w:val="nil"/>
              <w:right w:val="nil"/>
            </w:tcBorders>
          </w:tcPr>
          <w:p w14:paraId="4F9C233D" w14:textId="77777777" w:rsidR="006F2FDF" w:rsidRPr="008E77B4" w:rsidRDefault="006F2FDF" w:rsidP="008E77B4">
            <w:pPr>
              <w:rPr>
                <w:rFonts w:cstheme="minorHAnsi"/>
              </w:rPr>
            </w:pPr>
          </w:p>
        </w:tc>
      </w:tr>
    </w:tbl>
    <w:p w14:paraId="3CEB41A4" w14:textId="77777777" w:rsidR="009169E4" w:rsidRPr="00481529" w:rsidRDefault="009169E4">
      <w:pPr>
        <w:rPr>
          <w:sz w:val="10"/>
          <w:szCs w:val="10"/>
        </w:rPr>
      </w:pPr>
    </w:p>
    <w:sectPr w:rsidR="009169E4" w:rsidRPr="00481529" w:rsidSect="00CD52A5">
      <w:headerReference w:type="default" r:id="rId11"/>
      <w:footerReference w:type="default" r:id="rId12"/>
      <w:pgSz w:w="11906" w:h="16838"/>
      <w:pgMar w:top="1134" w:right="964" w:bottom="1134" w:left="1134" w:header="397" w:footer="79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F9E1" w14:textId="77777777" w:rsidR="00970549" w:rsidRDefault="00970549" w:rsidP="00011B91">
      <w:pPr>
        <w:spacing w:after="0" w:line="240" w:lineRule="auto"/>
      </w:pPr>
      <w:r>
        <w:separator/>
      </w:r>
    </w:p>
  </w:endnote>
  <w:endnote w:type="continuationSeparator" w:id="0">
    <w:p w14:paraId="2B6DD131" w14:textId="77777777" w:rsidR="00970549" w:rsidRDefault="00970549" w:rsidP="0001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Arial Black">
    <w:panose1 w:val="020B0A04020102020204"/>
    <w:charset w:val="BA"/>
    <w:family w:val="swiss"/>
    <w:pitch w:val="variable"/>
    <w:sig w:usb0="A00002AF" w:usb1="400078FB" w:usb2="00000000" w:usb3="00000000" w:csb0="0000009F" w:csb1="00000000"/>
  </w:font>
  <w:font w:name="Times">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00000001" w:usb1="1000004B" w:usb2="00000000" w:usb3="00000000" w:csb0="00000085"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28E4" w14:textId="77777777" w:rsidR="00750A69" w:rsidRDefault="00750A69" w:rsidP="00C123F2">
    <w:pPr>
      <w:pStyle w:val="Footer"/>
      <w:jc w:val="center"/>
      <w:rPr>
        <w:noProof/>
        <w:lang w:eastAsia="lt-LT"/>
      </w:rPr>
    </w:pPr>
  </w:p>
  <w:p w14:paraId="66E88F10" w14:textId="77777777" w:rsidR="000D6DD6" w:rsidRDefault="000D6DD6" w:rsidP="00C123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B542" w14:textId="77777777" w:rsidR="00970549" w:rsidRDefault="00970549" w:rsidP="00011B91">
      <w:pPr>
        <w:spacing w:after="0" w:line="240" w:lineRule="auto"/>
      </w:pPr>
      <w:r>
        <w:separator/>
      </w:r>
    </w:p>
  </w:footnote>
  <w:footnote w:type="continuationSeparator" w:id="0">
    <w:p w14:paraId="72F120BB" w14:textId="77777777" w:rsidR="00970549" w:rsidRDefault="00970549" w:rsidP="00011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EED3" w14:textId="77777777" w:rsidR="00011B91" w:rsidRDefault="00011B91" w:rsidP="00971F8A">
    <w:pPr>
      <w:pStyle w:val="Header"/>
      <w:spacing w:before="100" w:beforeAutospacing="1"/>
      <w:jc w:val="center"/>
    </w:pPr>
    <w:r>
      <w:rPr>
        <w:noProof/>
        <w:lang w:eastAsia="lt-LT"/>
      </w:rPr>
      <w:drawing>
        <wp:inline distT="0" distB="0" distL="0" distR="0" wp14:anchorId="6150B857" wp14:editId="70BCD7FD">
          <wp:extent cx="1656000" cy="77400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774000"/>
                  </a:xfrm>
                  <a:prstGeom prst="rect">
                    <a:avLst/>
                  </a:prstGeom>
                </pic:spPr>
              </pic:pic>
            </a:graphicData>
          </a:graphic>
        </wp:inline>
      </w:drawing>
    </w:r>
  </w:p>
  <w:p w14:paraId="6A4FC341" w14:textId="77777777" w:rsidR="00011B91" w:rsidRDefault="00011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E4650E6"/>
    <w:lvl w:ilvl="0">
      <w:start w:val="1"/>
      <w:numFmt w:val="decimal"/>
      <w:lvlText w:val="%1."/>
      <w:lvlJc w:val="left"/>
      <w:pPr>
        <w:tabs>
          <w:tab w:val="num" w:pos="360"/>
        </w:tabs>
        <w:ind w:left="360" w:hanging="360"/>
      </w:pPr>
      <w:rPr>
        <w:rFonts w:ascii="Arial" w:hAnsi="Arial" w:cs="Arial" w:hint="default"/>
        <w:b/>
        <w:i w:val="0"/>
        <w:color w:val="auto"/>
        <w:sz w:val="22"/>
        <w14:shadow w14:blurRad="0" w14:dist="0" w14:dir="0" w14:sx="0" w14:sy="0" w14:kx="0" w14:ky="0" w14:algn="none">
          <w14:srgbClr w14:val="000000"/>
        </w14:shadow>
      </w:rPr>
    </w:lvl>
    <w:lvl w:ilvl="1">
      <w:start w:val="1"/>
      <w:numFmt w:val="decimal"/>
      <w:lvlText w:val="%1.%2."/>
      <w:lvlJc w:val="left"/>
      <w:pPr>
        <w:tabs>
          <w:tab w:val="num" w:pos="567"/>
        </w:tabs>
        <w:ind w:left="567" w:hanging="567"/>
      </w:pPr>
      <w:rPr>
        <w:b w:val="0"/>
        <w:strike w:val="0"/>
        <w:dstrike w:val="0"/>
        <w:color w:val="auto"/>
        <w:u w:val="none"/>
        <w:effect w:val="none"/>
      </w:rPr>
    </w:lvl>
    <w:lvl w:ilvl="2">
      <w:start w:val="1"/>
      <w:numFmt w:val="decimal"/>
      <w:lvlText w:val="%1.%2.%3."/>
      <w:lvlJc w:val="left"/>
      <w:pPr>
        <w:tabs>
          <w:tab w:val="num" w:pos="964"/>
        </w:tabs>
        <w:ind w:left="964" w:hanging="680"/>
      </w:pPr>
      <w:rPr>
        <w:b w:val="0"/>
      </w:rPr>
    </w:lvl>
    <w:lvl w:ilvl="3">
      <w:start w:val="1"/>
      <w:numFmt w:val="decimal"/>
      <w:lvlText w:val="%1.%2.%3.%4."/>
      <w:lvlJc w:val="left"/>
      <w:pPr>
        <w:tabs>
          <w:tab w:val="num" w:pos="2160"/>
        </w:tabs>
        <w:ind w:left="1728" w:hanging="648"/>
      </w:pPr>
      <w:rPr>
        <w:b w:val="0"/>
      </w:rPr>
    </w:lvl>
    <w:lvl w:ilvl="4">
      <w:start w:val="1"/>
      <w:numFmt w:val="decimal"/>
      <w:lvlText w:val="%1.%2.%3.%4.%5."/>
      <w:lvlJc w:val="left"/>
      <w:pPr>
        <w:tabs>
          <w:tab w:val="num" w:pos="2880"/>
        </w:tabs>
        <w:ind w:left="2232" w:hanging="792"/>
      </w:pPr>
      <w:rPr>
        <w:b w:val="0"/>
      </w:rPr>
    </w:lvl>
    <w:lvl w:ilvl="5">
      <w:start w:val="1"/>
      <w:numFmt w:val="decimal"/>
      <w:lvlText w:val="%1.%2.%3.%4.%5.%6."/>
      <w:lvlJc w:val="left"/>
      <w:pPr>
        <w:tabs>
          <w:tab w:val="num" w:pos="3600"/>
        </w:tabs>
        <w:ind w:left="2736" w:hanging="936"/>
      </w:pPr>
      <w:rPr>
        <w:b w:val="0"/>
      </w:rPr>
    </w:lvl>
    <w:lvl w:ilvl="6">
      <w:start w:val="1"/>
      <w:numFmt w:val="decimal"/>
      <w:lvlText w:val="%1.%2.%3.%4.%5.%6.%7."/>
      <w:lvlJc w:val="left"/>
      <w:pPr>
        <w:tabs>
          <w:tab w:val="num" w:pos="4320"/>
        </w:tabs>
        <w:ind w:left="3240" w:hanging="1080"/>
      </w:pPr>
      <w:rPr>
        <w:b w:val="0"/>
      </w:rPr>
    </w:lvl>
    <w:lvl w:ilvl="7">
      <w:start w:val="1"/>
      <w:numFmt w:val="decimal"/>
      <w:lvlText w:val="%1.%2.%3.%4.%5.%6.%7.%8."/>
      <w:lvlJc w:val="left"/>
      <w:pPr>
        <w:tabs>
          <w:tab w:val="num" w:pos="4680"/>
        </w:tabs>
        <w:ind w:left="3744" w:hanging="1224"/>
      </w:pPr>
      <w:rPr>
        <w:b w:val="0"/>
      </w:rPr>
    </w:lvl>
    <w:lvl w:ilvl="8">
      <w:start w:val="1"/>
      <w:numFmt w:val="decimal"/>
      <w:lvlText w:val="%1.%2.%3.%4.%5.%6.%7.%8.%9."/>
      <w:lvlJc w:val="left"/>
      <w:pPr>
        <w:tabs>
          <w:tab w:val="num" w:pos="5400"/>
        </w:tabs>
        <w:ind w:left="4320" w:hanging="1440"/>
      </w:pPr>
      <w:rPr>
        <w:b w:val="0"/>
      </w:rPr>
    </w:lvl>
  </w:abstractNum>
  <w:abstractNum w:abstractNumId="1" w15:restartNumberingAfterBreak="0">
    <w:nsid w:val="24947C05"/>
    <w:multiLevelType w:val="multilevel"/>
    <w:tmpl w:val="AE4650E6"/>
    <w:lvl w:ilvl="0">
      <w:start w:val="1"/>
      <w:numFmt w:val="decimal"/>
      <w:lvlText w:val="%1."/>
      <w:lvlJc w:val="left"/>
      <w:pPr>
        <w:tabs>
          <w:tab w:val="num" w:pos="360"/>
        </w:tabs>
        <w:ind w:left="360" w:hanging="360"/>
      </w:pPr>
      <w:rPr>
        <w:rFonts w:ascii="Arial" w:hAnsi="Arial" w:cs="Arial" w:hint="default"/>
        <w:b/>
        <w:i w:val="0"/>
        <w:color w:val="auto"/>
        <w:sz w:val="22"/>
        <w14:shadow w14:blurRad="0" w14:dist="0" w14:dir="0" w14:sx="0" w14:sy="0" w14:kx="0" w14:ky="0" w14:algn="none">
          <w14:srgbClr w14:val="000000"/>
        </w14:shadow>
      </w:rPr>
    </w:lvl>
    <w:lvl w:ilvl="1">
      <w:start w:val="1"/>
      <w:numFmt w:val="decimal"/>
      <w:lvlText w:val="%1.%2."/>
      <w:lvlJc w:val="left"/>
      <w:pPr>
        <w:tabs>
          <w:tab w:val="num" w:pos="567"/>
        </w:tabs>
        <w:ind w:left="567" w:hanging="567"/>
      </w:pPr>
      <w:rPr>
        <w:b w:val="0"/>
        <w:strike w:val="0"/>
        <w:dstrike w:val="0"/>
        <w:color w:val="auto"/>
        <w:u w:val="none"/>
        <w:effect w:val="none"/>
      </w:rPr>
    </w:lvl>
    <w:lvl w:ilvl="2">
      <w:start w:val="1"/>
      <w:numFmt w:val="decimal"/>
      <w:lvlText w:val="%1.%2.%3."/>
      <w:lvlJc w:val="left"/>
      <w:pPr>
        <w:tabs>
          <w:tab w:val="num" w:pos="964"/>
        </w:tabs>
        <w:ind w:left="964" w:hanging="680"/>
      </w:pPr>
      <w:rPr>
        <w:b w:val="0"/>
      </w:rPr>
    </w:lvl>
    <w:lvl w:ilvl="3">
      <w:start w:val="1"/>
      <w:numFmt w:val="decimal"/>
      <w:lvlText w:val="%1.%2.%3.%4."/>
      <w:lvlJc w:val="left"/>
      <w:pPr>
        <w:tabs>
          <w:tab w:val="num" w:pos="2160"/>
        </w:tabs>
        <w:ind w:left="1728" w:hanging="648"/>
      </w:pPr>
      <w:rPr>
        <w:b w:val="0"/>
      </w:rPr>
    </w:lvl>
    <w:lvl w:ilvl="4">
      <w:start w:val="1"/>
      <w:numFmt w:val="decimal"/>
      <w:lvlText w:val="%1.%2.%3.%4.%5."/>
      <w:lvlJc w:val="left"/>
      <w:pPr>
        <w:tabs>
          <w:tab w:val="num" w:pos="2880"/>
        </w:tabs>
        <w:ind w:left="2232" w:hanging="792"/>
      </w:pPr>
      <w:rPr>
        <w:b w:val="0"/>
      </w:rPr>
    </w:lvl>
    <w:lvl w:ilvl="5">
      <w:start w:val="1"/>
      <w:numFmt w:val="decimal"/>
      <w:lvlText w:val="%1.%2.%3.%4.%5.%6."/>
      <w:lvlJc w:val="left"/>
      <w:pPr>
        <w:tabs>
          <w:tab w:val="num" w:pos="3600"/>
        </w:tabs>
        <w:ind w:left="2736" w:hanging="936"/>
      </w:pPr>
      <w:rPr>
        <w:b w:val="0"/>
      </w:rPr>
    </w:lvl>
    <w:lvl w:ilvl="6">
      <w:start w:val="1"/>
      <w:numFmt w:val="decimal"/>
      <w:lvlText w:val="%1.%2.%3.%4.%5.%6.%7."/>
      <w:lvlJc w:val="left"/>
      <w:pPr>
        <w:tabs>
          <w:tab w:val="num" w:pos="4320"/>
        </w:tabs>
        <w:ind w:left="3240" w:hanging="1080"/>
      </w:pPr>
      <w:rPr>
        <w:b w:val="0"/>
      </w:rPr>
    </w:lvl>
    <w:lvl w:ilvl="7">
      <w:start w:val="1"/>
      <w:numFmt w:val="decimal"/>
      <w:lvlText w:val="%1.%2.%3.%4.%5.%6.%7.%8."/>
      <w:lvlJc w:val="left"/>
      <w:pPr>
        <w:tabs>
          <w:tab w:val="num" w:pos="4680"/>
        </w:tabs>
        <w:ind w:left="3744" w:hanging="1224"/>
      </w:pPr>
      <w:rPr>
        <w:b w:val="0"/>
      </w:rPr>
    </w:lvl>
    <w:lvl w:ilvl="8">
      <w:start w:val="1"/>
      <w:numFmt w:val="decimal"/>
      <w:lvlText w:val="%1.%2.%3.%4.%5.%6.%7.%8.%9."/>
      <w:lvlJc w:val="left"/>
      <w:pPr>
        <w:tabs>
          <w:tab w:val="num" w:pos="5400"/>
        </w:tabs>
        <w:ind w:left="4320" w:hanging="1440"/>
      </w:pPr>
      <w:rPr>
        <w:b w:val="0"/>
      </w:rPr>
    </w:lvl>
  </w:abstractNum>
  <w:abstractNum w:abstractNumId="2" w15:restartNumberingAfterBreak="0">
    <w:nsid w:val="2B5B04A1"/>
    <w:multiLevelType w:val="multilevel"/>
    <w:tmpl w:val="77940142"/>
    <w:lvl w:ilvl="0">
      <w:start w:val="1"/>
      <w:numFmt w:val="decimal"/>
      <w:pStyle w:val="1STNormalChar"/>
      <w:lvlText w:val="%1."/>
      <w:lvlJc w:val="left"/>
      <w:pPr>
        <w:tabs>
          <w:tab w:val="num" w:pos="-284"/>
        </w:tabs>
        <w:ind w:left="-284" w:firstLine="284"/>
      </w:pPr>
      <w:rPr>
        <w:rFonts w:hint="default"/>
        <w:b w:val="0"/>
        <w:color w:val="auto"/>
      </w:rPr>
    </w:lvl>
    <w:lvl w:ilvl="1">
      <w:start w:val="1"/>
      <w:numFmt w:val="decimal"/>
      <w:pStyle w:val="11STNormalCharChar"/>
      <w:lvlText w:val="%1.%2."/>
      <w:lvlJc w:val="left"/>
      <w:pPr>
        <w:tabs>
          <w:tab w:val="num" w:pos="426"/>
        </w:tabs>
        <w:ind w:left="426" w:firstLine="284"/>
      </w:pPr>
      <w:rPr>
        <w:rFonts w:hint="default"/>
        <w:b w:val="0"/>
        <w:color w:val="auto"/>
      </w:rPr>
    </w:lvl>
    <w:lvl w:ilvl="2">
      <w:start w:val="1"/>
      <w:numFmt w:val="decimal"/>
      <w:lvlText w:val="%1.%2.%3."/>
      <w:lvlJc w:val="left"/>
      <w:pPr>
        <w:tabs>
          <w:tab w:val="num" w:pos="-578"/>
        </w:tabs>
        <w:ind w:left="646" w:hanging="504"/>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E070D49"/>
    <w:multiLevelType w:val="multilevel"/>
    <w:tmpl w:val="AE4650E6"/>
    <w:lvl w:ilvl="0">
      <w:start w:val="1"/>
      <w:numFmt w:val="decimal"/>
      <w:lvlText w:val="%1."/>
      <w:lvlJc w:val="left"/>
      <w:pPr>
        <w:tabs>
          <w:tab w:val="num" w:pos="360"/>
        </w:tabs>
        <w:ind w:left="360" w:hanging="360"/>
      </w:pPr>
      <w:rPr>
        <w:rFonts w:ascii="Arial" w:hAnsi="Arial" w:cs="Arial" w:hint="default"/>
        <w:b/>
        <w:i w:val="0"/>
        <w:color w:val="auto"/>
        <w:sz w:val="22"/>
        <w14:shadow w14:blurRad="0" w14:dist="0" w14:dir="0" w14:sx="0" w14:sy="0" w14:kx="0" w14:ky="0" w14:algn="none">
          <w14:srgbClr w14:val="000000"/>
        </w14:shadow>
      </w:rPr>
    </w:lvl>
    <w:lvl w:ilvl="1">
      <w:start w:val="1"/>
      <w:numFmt w:val="decimal"/>
      <w:lvlText w:val="%1.%2."/>
      <w:lvlJc w:val="left"/>
      <w:pPr>
        <w:tabs>
          <w:tab w:val="num" w:pos="567"/>
        </w:tabs>
        <w:ind w:left="567" w:hanging="567"/>
      </w:pPr>
      <w:rPr>
        <w:b w:val="0"/>
        <w:strike w:val="0"/>
        <w:dstrike w:val="0"/>
        <w:color w:val="auto"/>
        <w:u w:val="none"/>
        <w:effect w:val="none"/>
      </w:rPr>
    </w:lvl>
    <w:lvl w:ilvl="2">
      <w:start w:val="1"/>
      <w:numFmt w:val="decimal"/>
      <w:lvlText w:val="%1.%2.%3."/>
      <w:lvlJc w:val="left"/>
      <w:pPr>
        <w:tabs>
          <w:tab w:val="num" w:pos="964"/>
        </w:tabs>
        <w:ind w:left="964" w:hanging="680"/>
      </w:pPr>
      <w:rPr>
        <w:b w:val="0"/>
      </w:rPr>
    </w:lvl>
    <w:lvl w:ilvl="3">
      <w:start w:val="1"/>
      <w:numFmt w:val="decimal"/>
      <w:lvlText w:val="%1.%2.%3.%4."/>
      <w:lvlJc w:val="left"/>
      <w:pPr>
        <w:tabs>
          <w:tab w:val="num" w:pos="2160"/>
        </w:tabs>
        <w:ind w:left="1728" w:hanging="648"/>
      </w:pPr>
      <w:rPr>
        <w:b w:val="0"/>
      </w:rPr>
    </w:lvl>
    <w:lvl w:ilvl="4">
      <w:start w:val="1"/>
      <w:numFmt w:val="decimal"/>
      <w:lvlText w:val="%1.%2.%3.%4.%5."/>
      <w:lvlJc w:val="left"/>
      <w:pPr>
        <w:tabs>
          <w:tab w:val="num" w:pos="2880"/>
        </w:tabs>
        <w:ind w:left="2232" w:hanging="792"/>
      </w:pPr>
      <w:rPr>
        <w:b w:val="0"/>
      </w:rPr>
    </w:lvl>
    <w:lvl w:ilvl="5">
      <w:start w:val="1"/>
      <w:numFmt w:val="decimal"/>
      <w:lvlText w:val="%1.%2.%3.%4.%5.%6."/>
      <w:lvlJc w:val="left"/>
      <w:pPr>
        <w:tabs>
          <w:tab w:val="num" w:pos="3600"/>
        </w:tabs>
        <w:ind w:left="2736" w:hanging="936"/>
      </w:pPr>
      <w:rPr>
        <w:b w:val="0"/>
      </w:rPr>
    </w:lvl>
    <w:lvl w:ilvl="6">
      <w:start w:val="1"/>
      <w:numFmt w:val="decimal"/>
      <w:lvlText w:val="%1.%2.%3.%4.%5.%6.%7."/>
      <w:lvlJc w:val="left"/>
      <w:pPr>
        <w:tabs>
          <w:tab w:val="num" w:pos="4320"/>
        </w:tabs>
        <w:ind w:left="3240" w:hanging="1080"/>
      </w:pPr>
      <w:rPr>
        <w:b w:val="0"/>
      </w:rPr>
    </w:lvl>
    <w:lvl w:ilvl="7">
      <w:start w:val="1"/>
      <w:numFmt w:val="decimal"/>
      <w:lvlText w:val="%1.%2.%3.%4.%5.%6.%7.%8."/>
      <w:lvlJc w:val="left"/>
      <w:pPr>
        <w:tabs>
          <w:tab w:val="num" w:pos="4680"/>
        </w:tabs>
        <w:ind w:left="3744" w:hanging="1224"/>
      </w:pPr>
      <w:rPr>
        <w:b w:val="0"/>
      </w:rPr>
    </w:lvl>
    <w:lvl w:ilvl="8">
      <w:start w:val="1"/>
      <w:numFmt w:val="decimal"/>
      <w:lvlText w:val="%1.%2.%3.%4.%5.%6.%7.%8.%9."/>
      <w:lvlJc w:val="left"/>
      <w:pPr>
        <w:tabs>
          <w:tab w:val="num" w:pos="5400"/>
        </w:tabs>
        <w:ind w:left="4320" w:hanging="1440"/>
      </w:pPr>
      <w:rPr>
        <w:b w:val="0"/>
      </w:rPr>
    </w:lvl>
  </w:abstractNum>
  <w:abstractNum w:abstractNumId="4" w15:restartNumberingAfterBreak="0">
    <w:nsid w:val="2EFE74D5"/>
    <w:multiLevelType w:val="hybridMultilevel"/>
    <w:tmpl w:val="C672B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582DB3"/>
    <w:multiLevelType w:val="hybridMultilevel"/>
    <w:tmpl w:val="BE0C746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17E4668"/>
    <w:multiLevelType w:val="multilevel"/>
    <w:tmpl w:val="E97821D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9487B"/>
    <w:multiLevelType w:val="hybridMultilevel"/>
    <w:tmpl w:val="C914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A3678"/>
    <w:multiLevelType w:val="multilevel"/>
    <w:tmpl w:val="AE4650E6"/>
    <w:lvl w:ilvl="0">
      <w:start w:val="1"/>
      <w:numFmt w:val="decimal"/>
      <w:lvlText w:val="%1."/>
      <w:lvlJc w:val="left"/>
      <w:pPr>
        <w:tabs>
          <w:tab w:val="num" w:pos="360"/>
        </w:tabs>
        <w:ind w:left="360" w:hanging="360"/>
      </w:pPr>
      <w:rPr>
        <w:rFonts w:ascii="Arial" w:hAnsi="Arial" w:cs="Arial" w:hint="default"/>
        <w:b/>
        <w:i w:val="0"/>
        <w:color w:val="auto"/>
        <w:sz w:val="22"/>
        <w14:shadow w14:blurRad="0" w14:dist="0" w14:dir="0" w14:sx="0" w14:sy="0" w14:kx="0" w14:ky="0" w14:algn="none">
          <w14:srgbClr w14:val="000000"/>
        </w14:shadow>
      </w:rPr>
    </w:lvl>
    <w:lvl w:ilvl="1">
      <w:start w:val="1"/>
      <w:numFmt w:val="decimal"/>
      <w:lvlText w:val="%1.%2."/>
      <w:lvlJc w:val="left"/>
      <w:pPr>
        <w:tabs>
          <w:tab w:val="num" w:pos="567"/>
        </w:tabs>
        <w:ind w:left="567" w:hanging="567"/>
      </w:pPr>
      <w:rPr>
        <w:b w:val="0"/>
        <w:strike w:val="0"/>
        <w:dstrike w:val="0"/>
        <w:color w:val="auto"/>
        <w:u w:val="none"/>
        <w:effect w:val="none"/>
      </w:rPr>
    </w:lvl>
    <w:lvl w:ilvl="2">
      <w:start w:val="1"/>
      <w:numFmt w:val="decimal"/>
      <w:lvlText w:val="%1.%2.%3."/>
      <w:lvlJc w:val="left"/>
      <w:pPr>
        <w:tabs>
          <w:tab w:val="num" w:pos="964"/>
        </w:tabs>
        <w:ind w:left="964" w:hanging="680"/>
      </w:pPr>
      <w:rPr>
        <w:b w:val="0"/>
      </w:rPr>
    </w:lvl>
    <w:lvl w:ilvl="3">
      <w:start w:val="1"/>
      <w:numFmt w:val="decimal"/>
      <w:lvlText w:val="%1.%2.%3.%4."/>
      <w:lvlJc w:val="left"/>
      <w:pPr>
        <w:tabs>
          <w:tab w:val="num" w:pos="2160"/>
        </w:tabs>
        <w:ind w:left="1728" w:hanging="648"/>
      </w:pPr>
      <w:rPr>
        <w:b w:val="0"/>
      </w:rPr>
    </w:lvl>
    <w:lvl w:ilvl="4">
      <w:start w:val="1"/>
      <w:numFmt w:val="decimal"/>
      <w:lvlText w:val="%1.%2.%3.%4.%5."/>
      <w:lvlJc w:val="left"/>
      <w:pPr>
        <w:tabs>
          <w:tab w:val="num" w:pos="2880"/>
        </w:tabs>
        <w:ind w:left="2232" w:hanging="792"/>
      </w:pPr>
      <w:rPr>
        <w:b w:val="0"/>
      </w:rPr>
    </w:lvl>
    <w:lvl w:ilvl="5">
      <w:start w:val="1"/>
      <w:numFmt w:val="decimal"/>
      <w:lvlText w:val="%1.%2.%3.%4.%5.%6."/>
      <w:lvlJc w:val="left"/>
      <w:pPr>
        <w:tabs>
          <w:tab w:val="num" w:pos="3600"/>
        </w:tabs>
        <w:ind w:left="2736" w:hanging="936"/>
      </w:pPr>
      <w:rPr>
        <w:b w:val="0"/>
      </w:rPr>
    </w:lvl>
    <w:lvl w:ilvl="6">
      <w:start w:val="1"/>
      <w:numFmt w:val="decimal"/>
      <w:lvlText w:val="%1.%2.%3.%4.%5.%6.%7."/>
      <w:lvlJc w:val="left"/>
      <w:pPr>
        <w:tabs>
          <w:tab w:val="num" w:pos="4320"/>
        </w:tabs>
        <w:ind w:left="3240" w:hanging="1080"/>
      </w:pPr>
      <w:rPr>
        <w:b w:val="0"/>
      </w:rPr>
    </w:lvl>
    <w:lvl w:ilvl="7">
      <w:start w:val="1"/>
      <w:numFmt w:val="decimal"/>
      <w:lvlText w:val="%1.%2.%3.%4.%5.%6.%7.%8."/>
      <w:lvlJc w:val="left"/>
      <w:pPr>
        <w:tabs>
          <w:tab w:val="num" w:pos="4680"/>
        </w:tabs>
        <w:ind w:left="3744" w:hanging="1224"/>
      </w:pPr>
      <w:rPr>
        <w:b w:val="0"/>
      </w:rPr>
    </w:lvl>
    <w:lvl w:ilvl="8">
      <w:start w:val="1"/>
      <w:numFmt w:val="decimal"/>
      <w:lvlText w:val="%1.%2.%3.%4.%5.%6.%7.%8.%9."/>
      <w:lvlJc w:val="left"/>
      <w:pPr>
        <w:tabs>
          <w:tab w:val="num" w:pos="5400"/>
        </w:tabs>
        <w:ind w:left="4320" w:hanging="1440"/>
      </w:pPr>
      <w:rPr>
        <w:b w:val="0"/>
      </w:rPr>
    </w:lvl>
  </w:abstractNum>
  <w:abstractNum w:abstractNumId="9" w15:restartNumberingAfterBreak="0">
    <w:nsid w:val="47CE76AE"/>
    <w:multiLevelType w:val="hybridMultilevel"/>
    <w:tmpl w:val="71F6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B30B5"/>
    <w:multiLevelType w:val="multilevel"/>
    <w:tmpl w:val="AE4650E6"/>
    <w:lvl w:ilvl="0">
      <w:start w:val="1"/>
      <w:numFmt w:val="decimal"/>
      <w:lvlText w:val="%1."/>
      <w:lvlJc w:val="left"/>
      <w:pPr>
        <w:tabs>
          <w:tab w:val="num" w:pos="360"/>
        </w:tabs>
        <w:ind w:left="360" w:hanging="360"/>
      </w:pPr>
      <w:rPr>
        <w:rFonts w:ascii="Arial" w:hAnsi="Arial" w:cs="Arial" w:hint="default"/>
        <w:b/>
        <w:i w:val="0"/>
        <w:color w:val="auto"/>
        <w:sz w:val="22"/>
        <w14:shadow w14:blurRad="0" w14:dist="0" w14:dir="0" w14:sx="0" w14:sy="0" w14:kx="0" w14:ky="0" w14:algn="none">
          <w14:srgbClr w14:val="000000"/>
        </w14:shadow>
      </w:rPr>
    </w:lvl>
    <w:lvl w:ilvl="1">
      <w:start w:val="1"/>
      <w:numFmt w:val="decimal"/>
      <w:lvlText w:val="%1.%2."/>
      <w:lvlJc w:val="left"/>
      <w:pPr>
        <w:tabs>
          <w:tab w:val="num" w:pos="567"/>
        </w:tabs>
        <w:ind w:left="567" w:hanging="567"/>
      </w:pPr>
      <w:rPr>
        <w:b w:val="0"/>
        <w:strike w:val="0"/>
        <w:dstrike w:val="0"/>
        <w:color w:val="auto"/>
        <w:u w:val="none"/>
        <w:effect w:val="none"/>
      </w:rPr>
    </w:lvl>
    <w:lvl w:ilvl="2">
      <w:start w:val="1"/>
      <w:numFmt w:val="decimal"/>
      <w:lvlText w:val="%1.%2.%3."/>
      <w:lvlJc w:val="left"/>
      <w:pPr>
        <w:tabs>
          <w:tab w:val="num" w:pos="964"/>
        </w:tabs>
        <w:ind w:left="964" w:hanging="680"/>
      </w:pPr>
      <w:rPr>
        <w:b w:val="0"/>
      </w:rPr>
    </w:lvl>
    <w:lvl w:ilvl="3">
      <w:start w:val="1"/>
      <w:numFmt w:val="decimal"/>
      <w:lvlText w:val="%1.%2.%3.%4."/>
      <w:lvlJc w:val="left"/>
      <w:pPr>
        <w:tabs>
          <w:tab w:val="num" w:pos="2160"/>
        </w:tabs>
        <w:ind w:left="1728" w:hanging="648"/>
      </w:pPr>
      <w:rPr>
        <w:b w:val="0"/>
      </w:rPr>
    </w:lvl>
    <w:lvl w:ilvl="4">
      <w:start w:val="1"/>
      <w:numFmt w:val="decimal"/>
      <w:lvlText w:val="%1.%2.%3.%4.%5."/>
      <w:lvlJc w:val="left"/>
      <w:pPr>
        <w:tabs>
          <w:tab w:val="num" w:pos="2880"/>
        </w:tabs>
        <w:ind w:left="2232" w:hanging="792"/>
      </w:pPr>
      <w:rPr>
        <w:b w:val="0"/>
      </w:rPr>
    </w:lvl>
    <w:lvl w:ilvl="5">
      <w:start w:val="1"/>
      <w:numFmt w:val="decimal"/>
      <w:lvlText w:val="%1.%2.%3.%4.%5.%6."/>
      <w:lvlJc w:val="left"/>
      <w:pPr>
        <w:tabs>
          <w:tab w:val="num" w:pos="3600"/>
        </w:tabs>
        <w:ind w:left="2736" w:hanging="936"/>
      </w:pPr>
      <w:rPr>
        <w:b w:val="0"/>
      </w:rPr>
    </w:lvl>
    <w:lvl w:ilvl="6">
      <w:start w:val="1"/>
      <w:numFmt w:val="decimal"/>
      <w:lvlText w:val="%1.%2.%3.%4.%5.%6.%7."/>
      <w:lvlJc w:val="left"/>
      <w:pPr>
        <w:tabs>
          <w:tab w:val="num" w:pos="4320"/>
        </w:tabs>
        <w:ind w:left="3240" w:hanging="1080"/>
      </w:pPr>
      <w:rPr>
        <w:b w:val="0"/>
      </w:rPr>
    </w:lvl>
    <w:lvl w:ilvl="7">
      <w:start w:val="1"/>
      <w:numFmt w:val="decimal"/>
      <w:lvlText w:val="%1.%2.%3.%4.%5.%6.%7.%8."/>
      <w:lvlJc w:val="left"/>
      <w:pPr>
        <w:tabs>
          <w:tab w:val="num" w:pos="4680"/>
        </w:tabs>
        <w:ind w:left="3744" w:hanging="1224"/>
      </w:pPr>
      <w:rPr>
        <w:b w:val="0"/>
      </w:rPr>
    </w:lvl>
    <w:lvl w:ilvl="8">
      <w:start w:val="1"/>
      <w:numFmt w:val="decimal"/>
      <w:lvlText w:val="%1.%2.%3.%4.%5.%6.%7.%8.%9."/>
      <w:lvlJc w:val="left"/>
      <w:pPr>
        <w:tabs>
          <w:tab w:val="num" w:pos="5400"/>
        </w:tabs>
        <w:ind w:left="4320" w:hanging="1440"/>
      </w:pPr>
      <w:rPr>
        <w:b w:val="0"/>
      </w:rPr>
    </w:lvl>
  </w:abstractNum>
  <w:abstractNum w:abstractNumId="11" w15:restartNumberingAfterBreak="0">
    <w:nsid w:val="501C0D7F"/>
    <w:multiLevelType w:val="hybridMultilevel"/>
    <w:tmpl w:val="E07C9D18"/>
    <w:lvl w:ilvl="0" w:tplc="E80A4F4E">
      <w:start w:val="1"/>
      <w:numFmt w:val="bullet"/>
      <w:lvlText w:val=""/>
      <w:lvlJc w:val="left"/>
      <w:pPr>
        <w:tabs>
          <w:tab w:val="num" w:pos="584"/>
        </w:tabs>
        <w:ind w:left="584" w:hanging="18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277338"/>
    <w:multiLevelType w:val="multilevel"/>
    <w:tmpl w:val="DE8A0950"/>
    <w:lvl w:ilvl="0">
      <w:start w:val="11"/>
      <w:numFmt w:val="decimal"/>
      <w:lvlText w:val="%1."/>
      <w:lvlJc w:val="left"/>
      <w:pPr>
        <w:tabs>
          <w:tab w:val="num" w:pos="360"/>
        </w:tabs>
        <w:ind w:left="360" w:hanging="360"/>
      </w:pPr>
      <w:rPr>
        <w:rFonts w:ascii="Arial" w:hAnsi="Arial" w:cs="Arial" w:hint="default"/>
        <w:b/>
        <w:i w:val="0"/>
        <w:color w:val="auto"/>
        <w:sz w:val="22"/>
        <w14:shadow w14:blurRad="0" w14:dist="0" w14:dir="0" w14:sx="0" w14:sy="0" w14:kx="0" w14:ky="0" w14:algn="none">
          <w14:srgbClr w14:val="000000"/>
        </w14:shadow>
      </w:rPr>
    </w:lvl>
    <w:lvl w:ilvl="1">
      <w:start w:val="3"/>
      <w:numFmt w:val="none"/>
      <w:lvlText w:val="11.1."/>
      <w:lvlJc w:val="left"/>
      <w:pPr>
        <w:tabs>
          <w:tab w:val="num" w:pos="567"/>
        </w:tabs>
        <w:ind w:left="567" w:hanging="567"/>
      </w:pPr>
      <w:rPr>
        <w:rFonts w:hint="default"/>
        <w:b w:val="0"/>
        <w:strike w:val="0"/>
        <w:dstrike w:val="0"/>
        <w:color w:val="auto"/>
        <w:u w:val="none"/>
        <w:effect w:val="none"/>
      </w:rPr>
    </w:lvl>
    <w:lvl w:ilvl="2">
      <w:start w:val="6"/>
      <w:numFmt w:val="decimal"/>
      <w:lvlText w:val="%1.%2.%3."/>
      <w:lvlJc w:val="left"/>
      <w:pPr>
        <w:tabs>
          <w:tab w:val="num" w:pos="822"/>
        </w:tabs>
        <w:ind w:left="822" w:hanging="680"/>
      </w:pPr>
      <w:rPr>
        <w:rFonts w:hint="default"/>
        <w:b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880"/>
        </w:tabs>
        <w:ind w:left="2232" w:hanging="792"/>
      </w:pPr>
      <w:rPr>
        <w:rFonts w:hint="default"/>
        <w:b w:val="0"/>
      </w:rPr>
    </w:lvl>
    <w:lvl w:ilvl="5">
      <w:start w:val="1"/>
      <w:numFmt w:val="decimal"/>
      <w:lvlText w:val="%1.%2.%3.%4.%5.%6."/>
      <w:lvlJc w:val="left"/>
      <w:pPr>
        <w:tabs>
          <w:tab w:val="num" w:pos="3600"/>
        </w:tabs>
        <w:ind w:left="2736" w:hanging="936"/>
      </w:pPr>
      <w:rPr>
        <w:rFonts w:hint="default"/>
        <w:b w:val="0"/>
      </w:rPr>
    </w:lvl>
    <w:lvl w:ilvl="6">
      <w:start w:val="1"/>
      <w:numFmt w:val="decimal"/>
      <w:lvlText w:val="%1.%2.%3.%4.%5.%6.%7."/>
      <w:lvlJc w:val="left"/>
      <w:pPr>
        <w:tabs>
          <w:tab w:val="num" w:pos="4320"/>
        </w:tabs>
        <w:ind w:left="3240" w:hanging="1080"/>
      </w:pPr>
      <w:rPr>
        <w:rFonts w:hint="default"/>
        <w:b w:val="0"/>
      </w:rPr>
    </w:lvl>
    <w:lvl w:ilvl="7">
      <w:start w:val="1"/>
      <w:numFmt w:val="decimal"/>
      <w:lvlText w:val="%1.%2.%3.%4.%5.%6.%7.%8."/>
      <w:lvlJc w:val="left"/>
      <w:pPr>
        <w:tabs>
          <w:tab w:val="num" w:pos="4680"/>
        </w:tabs>
        <w:ind w:left="3744" w:hanging="1224"/>
      </w:pPr>
      <w:rPr>
        <w:rFonts w:hint="default"/>
        <w:b w:val="0"/>
      </w:rPr>
    </w:lvl>
    <w:lvl w:ilvl="8">
      <w:start w:val="1"/>
      <w:numFmt w:val="decimal"/>
      <w:lvlText w:val="%1.%2.%3.%4.%5.%6.%7.%8.%9."/>
      <w:lvlJc w:val="left"/>
      <w:pPr>
        <w:tabs>
          <w:tab w:val="num" w:pos="5400"/>
        </w:tabs>
        <w:ind w:left="4320" w:hanging="1440"/>
      </w:pPr>
      <w:rPr>
        <w:rFonts w:hint="default"/>
        <w:b w:val="0"/>
      </w:rPr>
    </w:lvl>
  </w:abstractNum>
  <w:num w:numId="1" w16cid:durableId="807092378">
    <w:abstractNumId w:val="2"/>
  </w:num>
  <w:num w:numId="2" w16cid:durableId="1639725927">
    <w:abstractNumId w:val="9"/>
  </w:num>
  <w:num w:numId="3" w16cid:durableId="668294179">
    <w:abstractNumId w:val="7"/>
  </w:num>
  <w:num w:numId="4" w16cid:durableId="1782186222">
    <w:abstractNumId w:val="0"/>
  </w:num>
  <w:num w:numId="5" w16cid:durableId="719866871">
    <w:abstractNumId w:val="11"/>
  </w:num>
  <w:num w:numId="6" w16cid:durableId="1967850372">
    <w:abstractNumId w:val="1"/>
  </w:num>
  <w:num w:numId="7" w16cid:durableId="1435053363">
    <w:abstractNumId w:val="10"/>
  </w:num>
  <w:num w:numId="8" w16cid:durableId="1893812666">
    <w:abstractNumId w:val="3"/>
  </w:num>
  <w:num w:numId="9" w16cid:durableId="1262107469">
    <w:abstractNumId w:val="12"/>
  </w:num>
  <w:num w:numId="10" w16cid:durableId="1940915449">
    <w:abstractNumId w:val="6"/>
  </w:num>
  <w:num w:numId="11" w16cid:durableId="541748890">
    <w:abstractNumId w:val="8"/>
  </w:num>
  <w:num w:numId="12" w16cid:durableId="789588588">
    <w:abstractNumId w:val="4"/>
  </w:num>
  <w:num w:numId="13" w16cid:durableId="355038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91"/>
    <w:rsid w:val="000009DB"/>
    <w:rsid w:val="000100F4"/>
    <w:rsid w:val="00011B91"/>
    <w:rsid w:val="0002275C"/>
    <w:rsid w:val="0002485D"/>
    <w:rsid w:val="000273F6"/>
    <w:rsid w:val="00033966"/>
    <w:rsid w:val="000C7C69"/>
    <w:rsid w:val="000D6DD6"/>
    <w:rsid w:val="00181D14"/>
    <w:rsid w:val="0019084D"/>
    <w:rsid w:val="001962E6"/>
    <w:rsid w:val="001D6368"/>
    <w:rsid w:val="001F057B"/>
    <w:rsid w:val="00226275"/>
    <w:rsid w:val="002C5B4C"/>
    <w:rsid w:val="002C7529"/>
    <w:rsid w:val="002E1C62"/>
    <w:rsid w:val="002E4024"/>
    <w:rsid w:val="0031138B"/>
    <w:rsid w:val="00341A1C"/>
    <w:rsid w:val="003A475A"/>
    <w:rsid w:val="003B19E0"/>
    <w:rsid w:val="00403709"/>
    <w:rsid w:val="00427613"/>
    <w:rsid w:val="00456991"/>
    <w:rsid w:val="0047648D"/>
    <w:rsid w:val="00481529"/>
    <w:rsid w:val="004870D8"/>
    <w:rsid w:val="004A51FA"/>
    <w:rsid w:val="004B717F"/>
    <w:rsid w:val="005114D7"/>
    <w:rsid w:val="00515B09"/>
    <w:rsid w:val="00522001"/>
    <w:rsid w:val="00531F05"/>
    <w:rsid w:val="00542701"/>
    <w:rsid w:val="00546BBB"/>
    <w:rsid w:val="0056157B"/>
    <w:rsid w:val="00584196"/>
    <w:rsid w:val="005D0F7C"/>
    <w:rsid w:val="005F7ADB"/>
    <w:rsid w:val="006824B3"/>
    <w:rsid w:val="006B111B"/>
    <w:rsid w:val="006B3F44"/>
    <w:rsid w:val="006C57B0"/>
    <w:rsid w:val="006E0A69"/>
    <w:rsid w:val="006F2FDF"/>
    <w:rsid w:val="00700B3E"/>
    <w:rsid w:val="00706DDF"/>
    <w:rsid w:val="00733B27"/>
    <w:rsid w:val="00733DC4"/>
    <w:rsid w:val="00745177"/>
    <w:rsid w:val="00750A69"/>
    <w:rsid w:val="00751043"/>
    <w:rsid w:val="0076413E"/>
    <w:rsid w:val="00782024"/>
    <w:rsid w:val="00784A13"/>
    <w:rsid w:val="007976E2"/>
    <w:rsid w:val="007A224B"/>
    <w:rsid w:val="007B3A1B"/>
    <w:rsid w:val="007C2363"/>
    <w:rsid w:val="007D5C38"/>
    <w:rsid w:val="00877B7D"/>
    <w:rsid w:val="008D2B3D"/>
    <w:rsid w:val="008E7711"/>
    <w:rsid w:val="008E77B4"/>
    <w:rsid w:val="00901CDC"/>
    <w:rsid w:val="00906C61"/>
    <w:rsid w:val="009169E4"/>
    <w:rsid w:val="00920394"/>
    <w:rsid w:val="00921B10"/>
    <w:rsid w:val="00921FBA"/>
    <w:rsid w:val="00926B34"/>
    <w:rsid w:val="00930B33"/>
    <w:rsid w:val="00930B71"/>
    <w:rsid w:val="009450FC"/>
    <w:rsid w:val="00951835"/>
    <w:rsid w:val="00957EA9"/>
    <w:rsid w:val="00967C80"/>
    <w:rsid w:val="00970549"/>
    <w:rsid w:val="00971F8A"/>
    <w:rsid w:val="00985DFB"/>
    <w:rsid w:val="009920CB"/>
    <w:rsid w:val="00994F75"/>
    <w:rsid w:val="009E25F7"/>
    <w:rsid w:val="00A0206B"/>
    <w:rsid w:val="00A05DC0"/>
    <w:rsid w:val="00A10FCD"/>
    <w:rsid w:val="00A6094B"/>
    <w:rsid w:val="00A82AD5"/>
    <w:rsid w:val="00A951B2"/>
    <w:rsid w:val="00AA5D67"/>
    <w:rsid w:val="00AA6EEF"/>
    <w:rsid w:val="00B20E05"/>
    <w:rsid w:val="00B2636E"/>
    <w:rsid w:val="00B8112F"/>
    <w:rsid w:val="00B8331B"/>
    <w:rsid w:val="00BA110B"/>
    <w:rsid w:val="00BC5F19"/>
    <w:rsid w:val="00BD0C86"/>
    <w:rsid w:val="00BD4551"/>
    <w:rsid w:val="00BD5003"/>
    <w:rsid w:val="00BF599D"/>
    <w:rsid w:val="00C0447A"/>
    <w:rsid w:val="00C123F2"/>
    <w:rsid w:val="00C217F2"/>
    <w:rsid w:val="00C26F47"/>
    <w:rsid w:val="00C566C3"/>
    <w:rsid w:val="00C569C8"/>
    <w:rsid w:val="00C6603C"/>
    <w:rsid w:val="00C67F49"/>
    <w:rsid w:val="00C7448B"/>
    <w:rsid w:val="00CA33D8"/>
    <w:rsid w:val="00CC4D9B"/>
    <w:rsid w:val="00CD52A5"/>
    <w:rsid w:val="00D03D61"/>
    <w:rsid w:val="00D16BE1"/>
    <w:rsid w:val="00D17E57"/>
    <w:rsid w:val="00D41C18"/>
    <w:rsid w:val="00D442B5"/>
    <w:rsid w:val="00D56A52"/>
    <w:rsid w:val="00D64FA3"/>
    <w:rsid w:val="00D65BBE"/>
    <w:rsid w:val="00D74A5D"/>
    <w:rsid w:val="00D760D6"/>
    <w:rsid w:val="00D93CBA"/>
    <w:rsid w:val="00DA1BA9"/>
    <w:rsid w:val="00DB2EEE"/>
    <w:rsid w:val="00DC3CD5"/>
    <w:rsid w:val="00DD1DCD"/>
    <w:rsid w:val="00DE326D"/>
    <w:rsid w:val="00DE399D"/>
    <w:rsid w:val="00DE4BF3"/>
    <w:rsid w:val="00DF222A"/>
    <w:rsid w:val="00DF6734"/>
    <w:rsid w:val="00E24F8D"/>
    <w:rsid w:val="00E60CC2"/>
    <w:rsid w:val="00E7569E"/>
    <w:rsid w:val="00EB3FFF"/>
    <w:rsid w:val="00ED2C8B"/>
    <w:rsid w:val="00EE3F9B"/>
    <w:rsid w:val="00F567E4"/>
    <w:rsid w:val="00F6217E"/>
    <w:rsid w:val="00F81560"/>
    <w:rsid w:val="00F82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BD5F2"/>
  <w15:docId w15:val="{B1811353-F226-44EF-8CEA-6564CD0C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CD52A5"/>
    <w:pPr>
      <w:keepNext/>
      <w:spacing w:before="240" w:after="60" w:line="240" w:lineRule="auto"/>
      <w:outlineLvl w:val="2"/>
    </w:pPr>
    <w:rPr>
      <w:rFonts w:ascii="Arial" w:eastAsia="Times New Roman" w:hAnsi="Arial" w:cs="Arial"/>
      <w:b/>
      <w:bCs/>
      <w:sz w:val="26"/>
      <w:szCs w:val="26"/>
      <w:lang w:val="fi-FI" w:eastAsia="fi-FI"/>
    </w:rPr>
  </w:style>
  <w:style w:type="paragraph" w:styleId="Heading4">
    <w:name w:val="heading 4"/>
    <w:basedOn w:val="Normal"/>
    <w:next w:val="Normal"/>
    <w:link w:val="Heading4Char"/>
    <w:qFormat/>
    <w:rsid w:val="00CD52A5"/>
    <w:pPr>
      <w:keepNext/>
      <w:spacing w:before="240" w:after="60" w:line="240" w:lineRule="auto"/>
      <w:outlineLvl w:val="3"/>
    </w:pPr>
    <w:rPr>
      <w:rFonts w:ascii="Times New Roman" w:eastAsia="Times New Roman" w:hAnsi="Times New Roman" w:cs="Times New Roman"/>
      <w:b/>
      <w:bCs/>
      <w:sz w:val="28"/>
      <w:szCs w:val="28"/>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11B91"/>
    <w:pPr>
      <w:tabs>
        <w:tab w:val="center" w:pos="4819"/>
        <w:tab w:val="right" w:pos="9638"/>
      </w:tabs>
      <w:spacing w:after="0" w:line="240" w:lineRule="auto"/>
    </w:pPr>
  </w:style>
  <w:style w:type="character" w:customStyle="1" w:styleId="HeaderChar">
    <w:name w:val="Header Char"/>
    <w:basedOn w:val="DefaultParagraphFont"/>
    <w:link w:val="Header"/>
    <w:rsid w:val="00011B91"/>
  </w:style>
  <w:style w:type="paragraph" w:styleId="Footer">
    <w:name w:val="footer"/>
    <w:basedOn w:val="Normal"/>
    <w:link w:val="FooterChar"/>
    <w:uiPriority w:val="99"/>
    <w:unhideWhenUsed/>
    <w:rsid w:val="00011B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1B91"/>
  </w:style>
  <w:style w:type="paragraph" w:styleId="BalloonText">
    <w:name w:val="Balloon Text"/>
    <w:basedOn w:val="Normal"/>
    <w:link w:val="BalloonTextChar"/>
    <w:semiHidden/>
    <w:unhideWhenUsed/>
    <w:rsid w:val="00011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B91"/>
    <w:rPr>
      <w:rFonts w:ascii="Tahoma" w:hAnsi="Tahoma" w:cs="Tahoma"/>
      <w:sz w:val="16"/>
      <w:szCs w:val="16"/>
    </w:rPr>
  </w:style>
  <w:style w:type="character" w:styleId="Hyperlink">
    <w:name w:val="Hyperlink"/>
    <w:basedOn w:val="DefaultParagraphFont"/>
    <w:unhideWhenUsed/>
    <w:rsid w:val="004A51FA"/>
    <w:rPr>
      <w:color w:val="0000FF"/>
      <w:u w:val="single"/>
    </w:rPr>
  </w:style>
  <w:style w:type="paragraph" w:customStyle="1" w:styleId="Default">
    <w:name w:val="Default"/>
    <w:rsid w:val="007D5C38"/>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CD52A5"/>
    <w:rPr>
      <w:rFonts w:ascii="Arial" w:eastAsia="Times New Roman" w:hAnsi="Arial" w:cs="Arial"/>
      <w:b/>
      <w:bCs/>
      <w:sz w:val="26"/>
      <w:szCs w:val="26"/>
      <w:lang w:val="fi-FI" w:eastAsia="fi-FI"/>
    </w:rPr>
  </w:style>
  <w:style w:type="character" w:customStyle="1" w:styleId="Heading4Char">
    <w:name w:val="Heading 4 Char"/>
    <w:basedOn w:val="DefaultParagraphFont"/>
    <w:link w:val="Heading4"/>
    <w:rsid w:val="00CD52A5"/>
    <w:rPr>
      <w:rFonts w:ascii="Times New Roman" w:eastAsia="Times New Roman" w:hAnsi="Times New Roman" w:cs="Times New Roman"/>
      <w:b/>
      <w:bCs/>
      <w:sz w:val="28"/>
      <w:szCs w:val="28"/>
      <w:lang w:val="fi-FI" w:eastAsia="fi-FI"/>
    </w:rPr>
  </w:style>
  <w:style w:type="paragraph" w:styleId="Title">
    <w:name w:val="Title"/>
    <w:basedOn w:val="Normal"/>
    <w:link w:val="TitleChar"/>
    <w:qFormat/>
    <w:rsid w:val="00CD52A5"/>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D52A5"/>
    <w:rPr>
      <w:rFonts w:ascii="Times New Roman" w:eastAsia="Times New Roman" w:hAnsi="Times New Roman" w:cs="Times New Roman"/>
      <w:b/>
      <w:sz w:val="24"/>
      <w:szCs w:val="20"/>
    </w:rPr>
  </w:style>
  <w:style w:type="paragraph" w:styleId="BodyTextIndent">
    <w:name w:val="Body Text Indent"/>
    <w:basedOn w:val="Normal"/>
    <w:link w:val="BodyTextIndentChar"/>
    <w:rsid w:val="00CD52A5"/>
    <w:pPr>
      <w:spacing w:after="0" w:line="240" w:lineRule="auto"/>
      <w:ind w:firstLine="720"/>
      <w:jc w:val="both"/>
    </w:pPr>
    <w:rPr>
      <w:rFonts w:ascii="Arial" w:eastAsia="Times New Roman" w:hAnsi="Arial" w:cs="Arial"/>
      <w:noProof/>
      <w:szCs w:val="20"/>
    </w:rPr>
  </w:style>
  <w:style w:type="character" w:customStyle="1" w:styleId="BodyTextIndentChar">
    <w:name w:val="Body Text Indent Char"/>
    <w:basedOn w:val="DefaultParagraphFont"/>
    <w:link w:val="BodyTextIndent"/>
    <w:rsid w:val="00CD52A5"/>
    <w:rPr>
      <w:rFonts w:ascii="Arial" w:eastAsia="Times New Roman" w:hAnsi="Arial" w:cs="Arial"/>
      <w:noProof/>
      <w:szCs w:val="20"/>
    </w:rPr>
  </w:style>
  <w:style w:type="table" w:styleId="TableGrid">
    <w:name w:val="Table Grid"/>
    <w:basedOn w:val="TableNormal"/>
    <w:rsid w:val="00CD52A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1">
    <w:name w:val="otsikko11"/>
    <w:rsid w:val="00CD52A5"/>
    <w:rPr>
      <w:rFonts w:ascii="Arial" w:hAnsi="Arial" w:cs="Arial" w:hint="default"/>
      <w:b w:val="0"/>
      <w:bCs w:val="0"/>
      <w:color w:val="333333"/>
      <w:sz w:val="26"/>
      <w:szCs w:val="26"/>
    </w:rPr>
  </w:style>
  <w:style w:type="character" w:customStyle="1" w:styleId="leipis1">
    <w:name w:val="leipis1"/>
    <w:rsid w:val="00CD52A5"/>
    <w:rPr>
      <w:rFonts w:ascii="Verdana" w:hAnsi="Verdana" w:hint="default"/>
      <w:strike w:val="0"/>
      <w:dstrike w:val="0"/>
      <w:color w:val="333333"/>
      <w:sz w:val="17"/>
      <w:szCs w:val="17"/>
      <w:u w:val="none"/>
      <w:effect w:val="none"/>
    </w:rPr>
  </w:style>
  <w:style w:type="character" w:customStyle="1" w:styleId="otsikko21">
    <w:name w:val="otsikko21"/>
    <w:rsid w:val="00CD52A5"/>
    <w:rPr>
      <w:rFonts w:ascii="Verdana" w:hAnsi="Verdana" w:hint="default"/>
      <w:b/>
      <w:bCs/>
      <w:strike w:val="0"/>
      <w:dstrike w:val="0"/>
      <w:color w:val="996600"/>
      <w:sz w:val="17"/>
      <w:szCs w:val="17"/>
      <w:u w:val="none"/>
      <w:effect w:val="none"/>
    </w:rPr>
  </w:style>
  <w:style w:type="paragraph" w:styleId="FootnoteText">
    <w:name w:val="footnote text"/>
    <w:basedOn w:val="Normal"/>
    <w:link w:val="FootnoteTextChar"/>
    <w:semiHidden/>
    <w:rsid w:val="00CD52A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CD52A5"/>
    <w:rPr>
      <w:rFonts w:ascii="Times New Roman" w:eastAsia="Times New Roman" w:hAnsi="Times New Roman" w:cs="Times New Roman"/>
      <w:sz w:val="20"/>
      <w:szCs w:val="20"/>
      <w:lang w:val="en-US"/>
    </w:rPr>
  </w:style>
  <w:style w:type="character" w:styleId="FootnoteReference">
    <w:name w:val="footnote reference"/>
    <w:semiHidden/>
    <w:rsid w:val="00CD52A5"/>
    <w:rPr>
      <w:vertAlign w:val="superscript"/>
    </w:rPr>
  </w:style>
  <w:style w:type="paragraph" w:styleId="BodyText">
    <w:name w:val="Body Text"/>
    <w:basedOn w:val="Normal"/>
    <w:link w:val="BodyTextChar"/>
    <w:rsid w:val="00CD52A5"/>
    <w:pPr>
      <w:widowControl w:val="0"/>
      <w:spacing w:after="0" w:line="240" w:lineRule="auto"/>
      <w:jc w:val="both"/>
    </w:pPr>
    <w:rPr>
      <w:rFonts w:ascii="Arial" w:eastAsia="Times New Roman" w:hAnsi="Arial" w:cs="Times New Roman"/>
      <w:noProof/>
      <w:sz w:val="20"/>
      <w:szCs w:val="20"/>
      <w:lang w:val="en-US"/>
    </w:rPr>
  </w:style>
  <w:style w:type="character" w:customStyle="1" w:styleId="BodyTextChar">
    <w:name w:val="Body Text Char"/>
    <w:basedOn w:val="DefaultParagraphFont"/>
    <w:link w:val="BodyText"/>
    <w:rsid w:val="00CD52A5"/>
    <w:rPr>
      <w:rFonts w:ascii="Arial" w:eastAsia="Times New Roman" w:hAnsi="Arial" w:cs="Times New Roman"/>
      <w:noProof/>
      <w:sz w:val="20"/>
      <w:szCs w:val="20"/>
      <w:lang w:val="en-US"/>
    </w:rPr>
  </w:style>
  <w:style w:type="character" w:styleId="Strong">
    <w:name w:val="Strong"/>
    <w:qFormat/>
    <w:rsid w:val="00CD52A5"/>
    <w:rPr>
      <w:b/>
      <w:bCs/>
    </w:rPr>
  </w:style>
  <w:style w:type="paragraph" w:styleId="BodyText3">
    <w:name w:val="Body Text 3"/>
    <w:basedOn w:val="Normal"/>
    <w:link w:val="BodyText3Char"/>
    <w:rsid w:val="00CD52A5"/>
    <w:pPr>
      <w:widowControl w:val="0"/>
      <w:suppressAutoHyphens/>
      <w:spacing w:after="120" w:line="240" w:lineRule="auto"/>
    </w:pPr>
    <w:rPr>
      <w:rFonts w:ascii="Thorndale" w:eastAsia="HG Mincho Light J" w:hAnsi="Thorndale" w:cs="Times New Roman"/>
      <w:color w:val="000000"/>
      <w:sz w:val="16"/>
      <w:szCs w:val="16"/>
    </w:rPr>
  </w:style>
  <w:style w:type="character" w:customStyle="1" w:styleId="BodyText3Char">
    <w:name w:val="Body Text 3 Char"/>
    <w:basedOn w:val="DefaultParagraphFont"/>
    <w:link w:val="BodyText3"/>
    <w:rsid w:val="00CD52A5"/>
    <w:rPr>
      <w:rFonts w:ascii="Thorndale" w:eastAsia="HG Mincho Light J" w:hAnsi="Thorndale" w:cs="Times New Roman"/>
      <w:color w:val="000000"/>
      <w:sz w:val="16"/>
      <w:szCs w:val="16"/>
    </w:rPr>
  </w:style>
  <w:style w:type="paragraph" w:styleId="ListParagraph">
    <w:name w:val="List Paragraph"/>
    <w:basedOn w:val="Normal"/>
    <w:qFormat/>
    <w:rsid w:val="00CD52A5"/>
    <w:pPr>
      <w:widowControl w:val="0"/>
      <w:suppressAutoHyphens/>
      <w:spacing w:after="0" w:line="240" w:lineRule="auto"/>
      <w:ind w:left="720"/>
      <w:contextualSpacing/>
    </w:pPr>
    <w:rPr>
      <w:rFonts w:ascii="Times New Roman" w:eastAsia="Lucida Sans Unicode" w:hAnsi="Times New Roman" w:cs="Times New Roman"/>
      <w:sz w:val="24"/>
      <w:szCs w:val="24"/>
    </w:rPr>
  </w:style>
  <w:style w:type="paragraph" w:customStyle="1" w:styleId="Tekstas">
    <w:name w:val="Tekstas"/>
    <w:basedOn w:val="Normal"/>
    <w:rsid w:val="00CD52A5"/>
    <w:pPr>
      <w:widowControl w:val="0"/>
      <w:suppressAutoHyphens/>
      <w:spacing w:after="120" w:line="240" w:lineRule="auto"/>
    </w:pPr>
    <w:rPr>
      <w:rFonts w:ascii="Thorndale" w:eastAsia="HG Mincho Light J" w:hAnsi="Thorndale" w:cs="Times New Roman"/>
      <w:color w:val="000000"/>
      <w:sz w:val="24"/>
      <w:szCs w:val="24"/>
    </w:rPr>
  </w:style>
  <w:style w:type="character" w:customStyle="1" w:styleId="FontStyle27">
    <w:name w:val="Font Style27"/>
    <w:rsid w:val="00CD52A5"/>
    <w:rPr>
      <w:rFonts w:ascii="Arial Black" w:hAnsi="Arial Black" w:cs="Arial Black" w:hint="default"/>
      <w:sz w:val="18"/>
      <w:szCs w:val="18"/>
    </w:rPr>
  </w:style>
  <w:style w:type="paragraph" w:customStyle="1" w:styleId="11STNormal">
    <w:name w:val="1.1 ST Normal"/>
    <w:basedOn w:val="Normal"/>
    <w:link w:val="11STNormalChar"/>
    <w:qFormat/>
    <w:rsid w:val="00CD52A5"/>
    <w:pPr>
      <w:tabs>
        <w:tab w:val="left" w:pos="993"/>
      </w:tabs>
      <w:spacing w:after="0" w:line="240" w:lineRule="auto"/>
      <w:ind w:left="792" w:hanging="432"/>
      <w:jc w:val="both"/>
    </w:pPr>
    <w:rPr>
      <w:rFonts w:ascii="Times" w:eastAsia="Times New Roman" w:hAnsi="Times" w:cs="Times New Roman"/>
      <w:bCs/>
      <w:sz w:val="24"/>
      <w:szCs w:val="20"/>
      <w:lang w:val="x-none"/>
    </w:rPr>
  </w:style>
  <w:style w:type="character" w:customStyle="1" w:styleId="11STNormalChar">
    <w:name w:val="1.1 ST Normal Char"/>
    <w:link w:val="11STNormal"/>
    <w:rsid w:val="00CD52A5"/>
    <w:rPr>
      <w:rFonts w:ascii="Times" w:eastAsia="Times New Roman" w:hAnsi="Times" w:cs="Times New Roman"/>
      <w:bCs/>
      <w:sz w:val="24"/>
      <w:szCs w:val="20"/>
      <w:lang w:val="x-none"/>
    </w:rPr>
  </w:style>
  <w:style w:type="paragraph" w:customStyle="1" w:styleId="1STNormalChar">
    <w:name w:val="1. ST Normal Char"/>
    <w:basedOn w:val="Normal"/>
    <w:qFormat/>
    <w:rsid w:val="00CD52A5"/>
    <w:pPr>
      <w:numPr>
        <w:numId w:val="1"/>
      </w:numPr>
      <w:tabs>
        <w:tab w:val="left" w:pos="709"/>
      </w:tabs>
      <w:spacing w:after="0" w:line="240" w:lineRule="auto"/>
      <w:jc w:val="both"/>
    </w:pPr>
    <w:rPr>
      <w:rFonts w:ascii="Times" w:eastAsia="Times New Roman" w:hAnsi="Times" w:cs="Times New Roman"/>
      <w:sz w:val="24"/>
      <w:szCs w:val="20"/>
      <w:lang w:val="x-none"/>
    </w:rPr>
  </w:style>
  <w:style w:type="paragraph" w:customStyle="1" w:styleId="11STNormalCharChar">
    <w:name w:val="1.1 ST Normal Char Char"/>
    <w:basedOn w:val="Normal"/>
    <w:link w:val="11STNormalCharCharChar"/>
    <w:qFormat/>
    <w:rsid w:val="00CD52A5"/>
    <w:pPr>
      <w:numPr>
        <w:ilvl w:val="1"/>
        <w:numId w:val="1"/>
      </w:numPr>
      <w:tabs>
        <w:tab w:val="left" w:pos="993"/>
      </w:tabs>
      <w:spacing w:after="0" w:line="240" w:lineRule="auto"/>
      <w:jc w:val="both"/>
    </w:pPr>
    <w:rPr>
      <w:rFonts w:ascii="Times" w:eastAsia="Times New Roman" w:hAnsi="Times" w:cs="Times New Roman"/>
      <w:bCs/>
      <w:sz w:val="24"/>
      <w:szCs w:val="20"/>
      <w:lang w:val="x-none"/>
    </w:rPr>
  </w:style>
  <w:style w:type="character" w:customStyle="1" w:styleId="11STNormalCharCharChar">
    <w:name w:val="1.1 ST Normal Char Char Char"/>
    <w:link w:val="11STNormalCharChar"/>
    <w:rsid w:val="00CD52A5"/>
    <w:rPr>
      <w:rFonts w:ascii="Times" w:eastAsia="Times New Roman" w:hAnsi="Times" w:cs="Times New Roman"/>
      <w:bCs/>
      <w:sz w:val="24"/>
      <w:szCs w:val="20"/>
      <w:lang w:val="x-none"/>
    </w:rPr>
  </w:style>
  <w:style w:type="character" w:styleId="PageNumber">
    <w:name w:val="page number"/>
    <w:basedOn w:val="DefaultParagraphFont"/>
    <w:rsid w:val="00CD52A5"/>
  </w:style>
  <w:style w:type="paragraph" w:customStyle="1" w:styleId="Tekstaskitas">
    <w:name w:val="Tekstas kitas"/>
    <w:basedOn w:val="Normal"/>
    <w:rsid w:val="00CD52A5"/>
    <w:pPr>
      <w:widowControl w:val="0"/>
      <w:tabs>
        <w:tab w:val="left" w:pos="567"/>
        <w:tab w:val="left" w:pos="720"/>
      </w:tabs>
      <w:suppressAutoHyphens/>
      <w:overflowPunct w:val="0"/>
      <w:autoSpaceDE w:val="0"/>
      <w:spacing w:after="0" w:line="240" w:lineRule="auto"/>
    </w:pPr>
    <w:rPr>
      <w:rFonts w:ascii="Palemonas" w:eastAsia="Times New Roman" w:hAnsi="Palemonas" w:cs="Times New Roman"/>
      <w:color w:val="000000"/>
      <w:szCs w:val="20"/>
      <w:lang w:eastAsia="ar-SA"/>
    </w:rPr>
  </w:style>
  <w:style w:type="paragraph" w:customStyle="1" w:styleId="Skyriai">
    <w:name w:val="Skyriai"/>
    <w:basedOn w:val="Normal"/>
    <w:rsid w:val="00CD52A5"/>
    <w:pPr>
      <w:pBdr>
        <w:top w:val="single" w:sz="4" w:space="1" w:color="000000"/>
        <w:left w:val="single" w:sz="4" w:space="1" w:color="000000"/>
        <w:bottom w:val="single" w:sz="4" w:space="1" w:color="000000"/>
        <w:right w:val="single" w:sz="4" w:space="1" w:color="000000"/>
      </w:pBdr>
      <w:tabs>
        <w:tab w:val="num" w:pos="360"/>
      </w:tabs>
      <w:suppressAutoHyphens/>
      <w:overflowPunct w:val="0"/>
      <w:autoSpaceDE w:val="0"/>
      <w:spacing w:before="120" w:after="120" w:line="240" w:lineRule="auto"/>
      <w:ind w:left="360" w:hanging="360"/>
    </w:pPr>
    <w:rPr>
      <w:rFonts w:ascii="Palemonas" w:eastAsia="Times New Roman" w:hAnsi="Palemonas" w:cs="Times New Roman"/>
      <w:szCs w:val="20"/>
      <w:lang w:eastAsia="ar-SA"/>
    </w:rPr>
  </w:style>
  <w:style w:type="paragraph" w:customStyle="1" w:styleId="1STNormal">
    <w:name w:val="1. ST Normal"/>
    <w:basedOn w:val="Skyriai"/>
    <w:qFormat/>
    <w:rsid w:val="00CD52A5"/>
  </w:style>
  <w:style w:type="paragraph" w:styleId="NormalWeb">
    <w:name w:val="Normal (Web)"/>
    <w:basedOn w:val="Normal"/>
    <w:uiPriority w:val="99"/>
    <w:unhideWhenUsed/>
    <w:rsid w:val="00CD52A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6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over.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7108</Words>
  <Characters>4052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SAINT-GOBAIN 1.8</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dc:creator>
  <cp:lastModifiedBy>Biezumaite, Laima - SG Statybos Gaminiai UAB</cp:lastModifiedBy>
  <cp:revision>3</cp:revision>
  <dcterms:created xsi:type="dcterms:W3CDTF">2026-04-09T10:53:00Z</dcterms:created>
  <dcterms:modified xsi:type="dcterms:W3CDTF">2026-04-09T10:57:00Z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2023-05-18T06:32:57Z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74310866-10bf-4776-90a9-86d997777584</vt:lpwstr>
  </property>
  <property fmtid="{D5CDD505-2E9C-101B-9397-08002B2CF9AE}" pid="8" name="MSIP_Label_ced06422-c515-4a4e-a1f2-e6a0c0200eae_ContentBits">
    <vt:lpwstr>0</vt:lpwstr>
  </property>
</Properties>
</file>